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8C299" w14:textId="214F1A80" w:rsidR="004142F0" w:rsidRPr="00640D01" w:rsidRDefault="00324158" w:rsidP="007334CB">
      <w:pPr>
        <w:pStyle w:val="BodyText"/>
        <w:rPr>
          <w:b/>
          <w:bCs/>
        </w:rPr>
      </w:pPr>
      <w:r w:rsidRPr="00640D01">
        <w:rPr>
          <w:b/>
          <w:bCs/>
        </w:rPr>
        <w:t>Note to preparer:</w:t>
      </w:r>
    </w:p>
    <w:p w14:paraId="1DBB8A77" w14:textId="77777777" w:rsidR="001F0822" w:rsidRPr="00640D01" w:rsidRDefault="001F0822" w:rsidP="007334CB">
      <w:pPr>
        <w:pStyle w:val="ListBullet"/>
      </w:pPr>
      <w:r w:rsidRPr="00640D01">
        <w:t xml:space="preserve">Text in </w:t>
      </w:r>
      <w:r w:rsidRPr="00640D01">
        <w:rPr>
          <w:b/>
          <w:bCs/>
          <w:color w:val="7030A0"/>
        </w:rPr>
        <w:t>purple</w:t>
      </w:r>
      <w:r w:rsidRPr="00640D01">
        <w:t xml:space="preserve"> is meant to be replaced or edited by the MPO preparing this document. </w:t>
      </w:r>
    </w:p>
    <w:p w14:paraId="06831908" w14:textId="4B7345A2" w:rsidR="00B82961" w:rsidRPr="00640D01" w:rsidRDefault="001F0822" w:rsidP="007334CB">
      <w:pPr>
        <w:pStyle w:val="ListBullet"/>
        <w:spacing w:after="0"/>
      </w:pPr>
      <w:r w:rsidRPr="00640D01">
        <w:t xml:space="preserve">Text in </w:t>
      </w:r>
      <w:r w:rsidRPr="00640D01">
        <w:rPr>
          <w:b/>
          <w:bCs/>
          <w:color w:val="C00000"/>
        </w:rPr>
        <w:t xml:space="preserve">red </w:t>
      </w:r>
      <w:r w:rsidRPr="00640D01">
        <w:t xml:space="preserve">represents </w:t>
      </w:r>
      <w:r w:rsidR="006A405C">
        <w:t>information</w:t>
      </w:r>
      <w:r w:rsidRPr="00640D01">
        <w:t xml:space="preserve"> </w:t>
      </w:r>
      <w:r w:rsidR="006A405C">
        <w:t>that populates</w:t>
      </w:r>
      <w:r w:rsidRPr="00640D01">
        <w:t xml:space="preserve"> </w:t>
      </w:r>
      <w:r w:rsidR="006A405C">
        <w:t>throughout the</w:t>
      </w:r>
      <w:r w:rsidRPr="00640D01">
        <w:t xml:space="preserve"> conformity analysis. </w:t>
      </w:r>
    </w:p>
    <w:p w14:paraId="07A75E67" w14:textId="666BC817" w:rsidR="0092004C" w:rsidRPr="00640D01" w:rsidRDefault="00B82961" w:rsidP="00115C30">
      <w:pPr>
        <w:pStyle w:val="ListBullet2"/>
      </w:pPr>
      <w:r w:rsidRPr="00640D01">
        <w:t xml:space="preserve">After the preparer </w:t>
      </w:r>
      <w:r w:rsidR="006A405C">
        <w:t>keyed-in or selected</w:t>
      </w:r>
      <w:r w:rsidRPr="00640D01">
        <w:t xml:space="preserve"> the desired values in the table below, refresh the document (CTRL + A</w:t>
      </w:r>
      <w:r w:rsidR="007334CB" w:rsidRPr="00640D01">
        <w:t xml:space="preserve"> and</w:t>
      </w:r>
      <w:r w:rsidRPr="00640D01">
        <w:t xml:space="preserve"> then F9) to view changes.</w:t>
      </w:r>
    </w:p>
    <w:p w14:paraId="0D42580E" w14:textId="12505FAA" w:rsidR="00B82961" w:rsidRPr="00640D01" w:rsidRDefault="00B82961" w:rsidP="007334CB">
      <w:pPr>
        <w:pStyle w:val="ListBullet2"/>
      </w:pPr>
      <w:r w:rsidRPr="00640D01">
        <w:t xml:space="preserve">Before finalizing and saving to PDF, be sure to </w:t>
      </w:r>
      <w:r w:rsidR="00115C30" w:rsidRPr="00640D01">
        <w:t>turn</w:t>
      </w:r>
      <w:r w:rsidRPr="00640D01">
        <w:t xml:space="preserve"> </w:t>
      </w:r>
      <w:r w:rsidR="00036EF4" w:rsidRPr="00640D01">
        <w:t xml:space="preserve">the refreshed sections </w:t>
      </w:r>
      <w:r w:rsidR="00115C30" w:rsidRPr="00640D01">
        <w:t xml:space="preserve">into static </w:t>
      </w:r>
      <w:r w:rsidRPr="00640D01">
        <w:t>text to ensure error message</w:t>
      </w:r>
      <w:r w:rsidR="007334CB" w:rsidRPr="00640D01">
        <w:t>s</w:t>
      </w:r>
      <w:r w:rsidRPr="00640D01">
        <w:t xml:space="preserve"> do </w:t>
      </w:r>
      <w:r w:rsidR="00DB4744" w:rsidRPr="00640D01">
        <w:t>not</w:t>
      </w:r>
      <w:r w:rsidRPr="00640D01">
        <w:t xml:space="preserve"> occur</w:t>
      </w:r>
      <w:r w:rsidR="00115C30" w:rsidRPr="00640D01">
        <w:t xml:space="preserve"> (select the text and then CTRL + Shift + F9)</w:t>
      </w:r>
      <w:r w:rsidRPr="00640D01">
        <w:t>.</w:t>
      </w:r>
    </w:p>
    <w:tbl>
      <w:tblPr>
        <w:tblStyle w:val="TableGrid"/>
        <w:tblW w:w="0" w:type="auto"/>
        <w:tblInd w:w="720" w:type="dxa"/>
        <w:tblBorders>
          <w:left w:val="single" w:sz="4" w:space="0" w:color="FFFFFF" w:themeColor="background1"/>
          <w:right w:val="single" w:sz="4" w:space="0" w:color="FFFFFF" w:themeColor="background1"/>
        </w:tblBorders>
        <w:tblCellMar>
          <w:top w:w="43" w:type="dxa"/>
          <w:bottom w:w="43" w:type="dxa"/>
        </w:tblCellMar>
        <w:tblLook w:val="04A0" w:firstRow="1" w:lastRow="0" w:firstColumn="1" w:lastColumn="0" w:noHBand="0" w:noVBand="1"/>
      </w:tblPr>
      <w:tblGrid>
        <w:gridCol w:w="3055"/>
        <w:gridCol w:w="5575"/>
      </w:tblGrid>
      <w:tr w:rsidR="0058066B" w:rsidRPr="00640D01" w14:paraId="5037EFD7" w14:textId="77777777" w:rsidTr="00446FEB">
        <w:tc>
          <w:tcPr>
            <w:tcW w:w="3055" w:type="dxa"/>
            <w:tcBorders>
              <w:right w:val="single" w:sz="4" w:space="0" w:color="FFFFFF" w:themeColor="background1"/>
            </w:tcBorders>
            <w:shd w:val="clear" w:color="auto" w:fill="002060"/>
            <w:vAlign w:val="center"/>
          </w:tcPr>
          <w:p w14:paraId="0E58F7D4" w14:textId="45D972DE" w:rsidR="0058066B" w:rsidRPr="00640D01" w:rsidRDefault="0058066B" w:rsidP="00446FEB">
            <w:pPr>
              <w:pStyle w:val="TableHeader"/>
            </w:pPr>
            <w:r w:rsidRPr="00640D01">
              <w:t>Parameter</w:t>
            </w:r>
          </w:p>
        </w:tc>
        <w:tc>
          <w:tcPr>
            <w:tcW w:w="5575" w:type="dxa"/>
            <w:tcBorders>
              <w:left w:val="single" w:sz="4" w:space="0" w:color="FFFFFF" w:themeColor="background1"/>
            </w:tcBorders>
            <w:shd w:val="clear" w:color="auto" w:fill="002060"/>
            <w:vAlign w:val="center"/>
          </w:tcPr>
          <w:p w14:paraId="062839A4" w14:textId="16E16071" w:rsidR="0058066B" w:rsidRPr="00640D01" w:rsidRDefault="0058066B" w:rsidP="00446FEB">
            <w:pPr>
              <w:pStyle w:val="TableHeader"/>
            </w:pPr>
            <w:r w:rsidRPr="00640D01">
              <w:t>User Input</w:t>
            </w:r>
          </w:p>
        </w:tc>
      </w:tr>
      <w:tr w:rsidR="0058066B" w:rsidRPr="00640D01" w14:paraId="3B25AC70" w14:textId="77777777" w:rsidTr="00446FEB">
        <w:tc>
          <w:tcPr>
            <w:tcW w:w="3055" w:type="dxa"/>
            <w:vAlign w:val="center"/>
          </w:tcPr>
          <w:p w14:paraId="44C996FB" w14:textId="46459B8F" w:rsidR="0058066B" w:rsidRPr="00640D01" w:rsidRDefault="006B411F" w:rsidP="00446FEB">
            <w:pPr>
              <w:pStyle w:val="TableText"/>
            </w:pPr>
            <w:r w:rsidRPr="00640D01">
              <w:t>Name of MPO</w:t>
            </w:r>
          </w:p>
        </w:tc>
        <w:bookmarkStart w:id="0" w:name="MPOName"/>
        <w:tc>
          <w:tcPr>
            <w:tcW w:w="5575" w:type="dxa"/>
            <w:vAlign w:val="center"/>
          </w:tcPr>
          <w:p w14:paraId="04B1FC38" w14:textId="2860FB7A" w:rsidR="0058066B" w:rsidRPr="00640D01" w:rsidRDefault="00000000" w:rsidP="00446FEB">
            <w:pPr>
              <w:pStyle w:val="TableText"/>
              <w:rPr>
                <w:b/>
                <w:bCs/>
                <w:color w:val="C00000"/>
              </w:rPr>
            </w:pPr>
            <w:sdt>
              <w:sdtPr>
                <w:rPr>
                  <w:b/>
                  <w:bCs/>
                  <w:color w:val="C00000"/>
                </w:rPr>
                <w:alias w:val="Select MPO"/>
                <w:tag w:val="Select MPO"/>
                <w:id w:val="-106666584"/>
                <w:placeholder>
                  <w:docPart w:val="84353D5371454B9FA827A8D35E0D2819"/>
                </w:placeholder>
                <w:showingPlcHdr/>
                <w:dropDownList>
                  <w:listItem w:value="Choose an item."/>
                  <w:listItem w:displayText="AAMPO" w:value="AAMPO"/>
                  <w:listItem w:displayText="El Paso MPO" w:value="El Paso MPO"/>
                  <w:listItem w:displayText="H-GAC" w:value="H-GAC"/>
                  <w:listItem w:displayText="NCTCOG" w:value="NCTCOG"/>
                  <w:listItem w:displayText="SETRPC" w:value="SETRPC"/>
                </w:dropDownList>
              </w:sdtPr>
              <w:sdtContent>
                <w:r w:rsidR="006B411F" w:rsidRPr="00640D01">
                  <w:rPr>
                    <w:rStyle w:val="Style2"/>
                    <w:b w:val="0"/>
                    <w:bCs/>
                  </w:rPr>
                  <w:t>[</w:t>
                </w:r>
                <w:r w:rsidR="006B411F" w:rsidRPr="00640D01">
                  <w:rPr>
                    <w:b/>
                    <w:bCs/>
                    <w:color w:val="C00000"/>
                  </w:rPr>
                  <w:t>MPO Name]</w:t>
                </w:r>
              </w:sdtContent>
            </w:sdt>
            <w:bookmarkEnd w:id="0"/>
          </w:p>
        </w:tc>
      </w:tr>
      <w:tr w:rsidR="006B411F" w:rsidRPr="00640D01" w14:paraId="1874F061" w14:textId="77777777" w:rsidTr="00446FEB">
        <w:tc>
          <w:tcPr>
            <w:tcW w:w="3055" w:type="dxa"/>
            <w:vAlign w:val="center"/>
          </w:tcPr>
          <w:p w14:paraId="1D875F38" w14:textId="793B4524" w:rsidR="006B411F" w:rsidRPr="00640D01" w:rsidRDefault="00B82961" w:rsidP="00446FEB">
            <w:pPr>
              <w:pStyle w:val="TableText"/>
            </w:pPr>
            <w:r w:rsidRPr="00640D01">
              <w:t xml:space="preserve">Name of </w:t>
            </w:r>
            <w:r w:rsidR="00115C30" w:rsidRPr="00640D01">
              <w:t>region</w:t>
            </w:r>
          </w:p>
        </w:tc>
        <w:bookmarkStart w:id="1" w:name="RegionName"/>
        <w:tc>
          <w:tcPr>
            <w:tcW w:w="5575" w:type="dxa"/>
            <w:vAlign w:val="center"/>
          </w:tcPr>
          <w:p w14:paraId="6D5CB411" w14:textId="568064AB" w:rsidR="006B411F" w:rsidRPr="00640D01" w:rsidRDefault="00000000" w:rsidP="00446FEB">
            <w:pPr>
              <w:pStyle w:val="TableText"/>
              <w:rPr>
                <w:b/>
                <w:bCs/>
                <w:color w:val="C00000"/>
              </w:rPr>
            </w:pPr>
            <w:sdt>
              <w:sdtPr>
                <w:rPr>
                  <w:b/>
                  <w:bCs/>
                  <w:color w:val="C00000"/>
                </w:rPr>
                <w:alias w:val="Region Name"/>
                <w:tag w:val="Region Name"/>
                <w:id w:val="281157138"/>
                <w:placeholder>
                  <w:docPart w:val="06459B146E8C41E98AC9AAFA8A0E8FA4"/>
                </w:placeholder>
                <w:dropDownList>
                  <w:listItem w:displayText="[Region name]" w:value="[Region name]"/>
                  <w:listItem w:displayText="Beaumont-Port Arthur" w:value="Beaumont-Port Arthur"/>
                  <w:listItem w:displayText="Dallas-Fort Worth" w:value="Dallas-Fort Worth"/>
                  <w:listItem w:displayText="El Paso" w:value="El Paso"/>
                  <w:listItem w:displayText="Houston-Galveston-Brazoria" w:value="Houston-Galveston-Brazoria"/>
                  <w:listItem w:displayText="San Antonio" w:value="San Antonio"/>
                </w:dropDownList>
              </w:sdtPr>
              <w:sdtContent>
                <w:r w:rsidR="00514311">
                  <w:rPr>
                    <w:b/>
                    <w:bCs/>
                    <w:color w:val="C00000"/>
                  </w:rPr>
                  <w:t>[Region name]</w:t>
                </w:r>
              </w:sdtContent>
            </w:sdt>
            <w:bookmarkEnd w:id="1"/>
          </w:p>
        </w:tc>
      </w:tr>
      <w:tr w:rsidR="00BE1493" w:rsidRPr="00640D01" w14:paraId="6109BB50" w14:textId="77777777" w:rsidTr="00446FEB">
        <w:tc>
          <w:tcPr>
            <w:tcW w:w="3055" w:type="dxa"/>
            <w:vAlign w:val="center"/>
          </w:tcPr>
          <w:p w14:paraId="1D511386" w14:textId="4DB0736D" w:rsidR="00BE1493" w:rsidRPr="00640D01" w:rsidRDefault="00BE1493" w:rsidP="00446FEB">
            <w:pPr>
              <w:pStyle w:val="TableText"/>
            </w:pPr>
            <w:r w:rsidRPr="00640D01">
              <w:t>RTP/MTP</w:t>
            </w:r>
          </w:p>
        </w:tc>
        <w:tc>
          <w:tcPr>
            <w:tcW w:w="5575" w:type="dxa"/>
            <w:vAlign w:val="center"/>
          </w:tcPr>
          <w:p w14:paraId="4A66B3BA" w14:textId="38265C3A" w:rsidR="00BE1493" w:rsidRPr="00640D01" w:rsidRDefault="00BE1493" w:rsidP="00446FEB">
            <w:pPr>
              <w:pStyle w:val="TableText"/>
              <w:rPr>
                <w:b/>
                <w:bCs/>
                <w:color w:val="C00000"/>
              </w:rPr>
            </w:pPr>
            <w:bookmarkStart w:id="2" w:name="MTPRTP"/>
            <w:r w:rsidRPr="00640D01">
              <w:rPr>
                <w:b/>
                <w:bCs/>
                <w:color w:val="C00000"/>
              </w:rPr>
              <w:t>[Name of RTP/MTP]</w:t>
            </w:r>
            <w:bookmarkEnd w:id="2"/>
          </w:p>
        </w:tc>
      </w:tr>
      <w:tr w:rsidR="00BE1493" w:rsidRPr="00640D01" w14:paraId="70BF50FF" w14:textId="77777777" w:rsidTr="00446FEB">
        <w:tc>
          <w:tcPr>
            <w:tcW w:w="3055" w:type="dxa"/>
            <w:vAlign w:val="center"/>
          </w:tcPr>
          <w:p w14:paraId="13DA2EFB" w14:textId="1AD3F7B1" w:rsidR="00BE1493" w:rsidRPr="00640D01" w:rsidRDefault="00BE1493" w:rsidP="00446FEB">
            <w:pPr>
              <w:pStyle w:val="TableText"/>
            </w:pPr>
            <w:r w:rsidRPr="00640D01">
              <w:t>TIP</w:t>
            </w:r>
          </w:p>
        </w:tc>
        <w:tc>
          <w:tcPr>
            <w:tcW w:w="5575" w:type="dxa"/>
            <w:vAlign w:val="center"/>
          </w:tcPr>
          <w:p w14:paraId="344907DC" w14:textId="60B82CE7" w:rsidR="00BE1493" w:rsidRPr="00640D01" w:rsidRDefault="00BE1493" w:rsidP="00446FEB">
            <w:pPr>
              <w:pStyle w:val="TableText"/>
              <w:rPr>
                <w:b/>
                <w:bCs/>
                <w:color w:val="C00000"/>
              </w:rPr>
            </w:pPr>
            <w:bookmarkStart w:id="3" w:name="TIPName"/>
            <w:r w:rsidRPr="00640D01">
              <w:rPr>
                <w:b/>
                <w:bCs/>
                <w:color w:val="C00000"/>
              </w:rPr>
              <w:t>[Name of TIP]</w:t>
            </w:r>
            <w:bookmarkEnd w:id="3"/>
          </w:p>
        </w:tc>
      </w:tr>
      <w:tr w:rsidR="00112EFB" w:rsidRPr="00640D01" w14:paraId="232F06B3" w14:textId="77777777" w:rsidTr="00446FEB">
        <w:tc>
          <w:tcPr>
            <w:tcW w:w="3055" w:type="dxa"/>
            <w:vAlign w:val="center"/>
          </w:tcPr>
          <w:p w14:paraId="6C2BBE50" w14:textId="0548F012" w:rsidR="00112EFB" w:rsidRPr="00640D01" w:rsidRDefault="00112EFB" w:rsidP="00446FEB">
            <w:pPr>
              <w:pStyle w:val="TableText"/>
            </w:pPr>
            <w:r w:rsidRPr="00640D01">
              <w:t xml:space="preserve">Conformity </w:t>
            </w:r>
            <w:r w:rsidR="00115C30" w:rsidRPr="00640D01">
              <w:t>year</w:t>
            </w:r>
          </w:p>
        </w:tc>
        <w:tc>
          <w:tcPr>
            <w:tcW w:w="5575" w:type="dxa"/>
            <w:vAlign w:val="center"/>
          </w:tcPr>
          <w:p w14:paraId="6530FB8C" w14:textId="6216992A" w:rsidR="00112EFB" w:rsidRPr="00640D01" w:rsidRDefault="00112EFB" w:rsidP="00446FEB">
            <w:pPr>
              <w:pStyle w:val="TableText"/>
              <w:rPr>
                <w:b/>
                <w:bCs/>
                <w:color w:val="C00000"/>
              </w:rPr>
            </w:pPr>
            <w:bookmarkStart w:id="4" w:name="ConformityYear"/>
            <w:r w:rsidRPr="00640D01">
              <w:rPr>
                <w:b/>
                <w:bCs/>
                <w:color w:val="C00000"/>
              </w:rPr>
              <w:t>[Conformity Year]</w:t>
            </w:r>
            <w:bookmarkEnd w:id="4"/>
          </w:p>
        </w:tc>
      </w:tr>
      <w:tr w:rsidR="00D231FC" w:rsidRPr="00640D01" w14:paraId="009243E8" w14:textId="77777777" w:rsidTr="00446FEB">
        <w:tc>
          <w:tcPr>
            <w:tcW w:w="3055" w:type="dxa"/>
            <w:vAlign w:val="center"/>
          </w:tcPr>
          <w:p w14:paraId="2B636A32" w14:textId="4A3D921B" w:rsidR="00D231FC" w:rsidRPr="00640D01" w:rsidRDefault="00D231FC" w:rsidP="00446FEB">
            <w:pPr>
              <w:pStyle w:val="TableText"/>
            </w:pPr>
            <w:r w:rsidRPr="00640D01">
              <w:t xml:space="preserve">Analysis </w:t>
            </w:r>
            <w:r w:rsidR="00115C30" w:rsidRPr="00640D01">
              <w:t>base year</w:t>
            </w:r>
          </w:p>
        </w:tc>
        <w:tc>
          <w:tcPr>
            <w:tcW w:w="5575" w:type="dxa"/>
            <w:vAlign w:val="center"/>
          </w:tcPr>
          <w:p w14:paraId="1FEDCB05" w14:textId="4723512B" w:rsidR="00D231FC" w:rsidRPr="00640D01" w:rsidRDefault="00D231FC" w:rsidP="00446FEB">
            <w:pPr>
              <w:pStyle w:val="TableText"/>
              <w:rPr>
                <w:b/>
                <w:bCs/>
                <w:color w:val="C00000"/>
              </w:rPr>
            </w:pPr>
            <w:bookmarkStart w:id="5" w:name="BaseYear"/>
            <w:r w:rsidRPr="00640D01">
              <w:rPr>
                <w:b/>
                <w:bCs/>
                <w:color w:val="C00000"/>
              </w:rPr>
              <w:t xml:space="preserve">[Base Year] </w:t>
            </w:r>
            <w:bookmarkEnd w:id="5"/>
          </w:p>
        </w:tc>
      </w:tr>
      <w:tr w:rsidR="00335EE0" w:rsidRPr="00640D01" w14:paraId="4C5E165C" w14:textId="77777777" w:rsidTr="00446FEB">
        <w:tc>
          <w:tcPr>
            <w:tcW w:w="3055" w:type="dxa"/>
            <w:vAlign w:val="center"/>
          </w:tcPr>
          <w:p w14:paraId="5257C2BE" w14:textId="371AEA8E" w:rsidR="00335EE0" w:rsidRPr="00640D01" w:rsidRDefault="00335EE0" w:rsidP="00446FEB">
            <w:pPr>
              <w:pStyle w:val="TableText"/>
            </w:pPr>
            <w:r w:rsidRPr="00640D01">
              <w:t xml:space="preserve">MOVES </w:t>
            </w:r>
            <w:r w:rsidR="00115C30" w:rsidRPr="00640D01">
              <w:t>version</w:t>
            </w:r>
          </w:p>
        </w:tc>
        <w:bookmarkStart w:id="6" w:name="MOVES"/>
        <w:tc>
          <w:tcPr>
            <w:tcW w:w="5575" w:type="dxa"/>
            <w:vAlign w:val="center"/>
          </w:tcPr>
          <w:p w14:paraId="0BD6D961" w14:textId="68D02E22" w:rsidR="00335EE0" w:rsidRPr="00640D01" w:rsidRDefault="00000000" w:rsidP="00446FEB">
            <w:pPr>
              <w:pStyle w:val="TableText"/>
              <w:rPr>
                <w:b/>
                <w:bCs/>
                <w:color w:val="C00000"/>
              </w:rPr>
            </w:pPr>
            <w:sdt>
              <w:sdtPr>
                <w:rPr>
                  <w:b/>
                  <w:bCs/>
                  <w:color w:val="C00000"/>
                </w:rPr>
                <w:id w:val="1288234261"/>
                <w:placeholder>
                  <w:docPart w:val="89A62D9F2F0B47FA840C90C0DB1A5276"/>
                </w:placeholder>
                <w:showingPlcHdr/>
                <w:dropDownList>
                  <w:listItem w:value="Choose an item."/>
                  <w:listItem w:displayText="MOVES3" w:value="MOVES3"/>
                  <w:listItem w:displayText="MOVES3.1" w:value="MOVES3.1"/>
                  <w:listItem w:displayText="MOVES4" w:value="MOVES4"/>
                  <w:listItem w:displayText="MOVES5" w:value="MOVES5"/>
                </w:dropDownList>
              </w:sdtPr>
              <w:sdtContent>
                <w:r w:rsidR="00294919" w:rsidRPr="00640D01">
                  <w:rPr>
                    <w:b/>
                    <w:bCs/>
                    <w:color w:val="C00000"/>
                  </w:rPr>
                  <w:t>[MOVES version]</w:t>
                </w:r>
              </w:sdtContent>
            </w:sdt>
            <w:bookmarkEnd w:id="6"/>
          </w:p>
        </w:tc>
      </w:tr>
    </w:tbl>
    <w:p w14:paraId="6C19FD0A" w14:textId="77777777" w:rsidR="0058066B" w:rsidRPr="00640D01" w:rsidRDefault="0058066B" w:rsidP="00176A31">
      <w:pPr>
        <w:spacing w:after="0" w:line="240" w:lineRule="auto"/>
      </w:pPr>
    </w:p>
    <w:p w14:paraId="3CD883A2" w14:textId="5ED82F0F" w:rsidR="00B31D7D" w:rsidRPr="00640D01" w:rsidRDefault="00B31D7D" w:rsidP="007334CB">
      <w:pPr>
        <w:pStyle w:val="ListBullet"/>
      </w:pPr>
      <w:r w:rsidRPr="00640D01">
        <w:t xml:space="preserve">Text that </w:t>
      </w:r>
      <w:r w:rsidR="007334CB" w:rsidRPr="00640D01">
        <w:t xml:space="preserve">is </w:t>
      </w:r>
      <w:r w:rsidRPr="00640D01">
        <w:t>not colored should be left unchanged.</w:t>
      </w:r>
    </w:p>
    <w:p w14:paraId="22F9AEE5" w14:textId="77777777" w:rsidR="00D727FF" w:rsidRPr="00640D01" w:rsidRDefault="00BB7D5A" w:rsidP="007334CB">
      <w:pPr>
        <w:pStyle w:val="ListBullet"/>
      </w:pPr>
      <w:r w:rsidRPr="00640D01">
        <w:t xml:space="preserve">The preparer must </w:t>
      </w:r>
      <w:r w:rsidR="00B31D7D" w:rsidRPr="00640D01">
        <w:t>include a title page for this conformity analysis.</w:t>
      </w:r>
      <w:r w:rsidRPr="00640D01">
        <w:t xml:space="preserve"> </w:t>
      </w:r>
    </w:p>
    <w:p w14:paraId="18D8845B" w14:textId="77777777" w:rsidR="00D727FF" w:rsidRPr="00640D01" w:rsidRDefault="00D727FF" w:rsidP="007334CB">
      <w:pPr>
        <w:pStyle w:val="BodyText"/>
        <w:rPr>
          <w:b/>
          <w:bCs/>
        </w:rPr>
      </w:pPr>
      <w:r w:rsidRPr="00640D01">
        <w:rPr>
          <w:b/>
          <w:bCs/>
        </w:rPr>
        <w:t>Update Log:</w:t>
      </w:r>
    </w:p>
    <w:p w14:paraId="1F0F89D7" w14:textId="1C29FF0A" w:rsidR="00D727FF" w:rsidRPr="00640D01" w:rsidRDefault="00D727FF" w:rsidP="007334CB">
      <w:pPr>
        <w:pStyle w:val="BodyText"/>
      </w:pPr>
      <w:r w:rsidRPr="00640D01">
        <w:t>This table documents the updates to this template since the last release.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120"/>
        <w:gridCol w:w="8240"/>
      </w:tblGrid>
      <w:tr w:rsidR="00D727FF" w:rsidRPr="00640D01" w14:paraId="7011A9BD" w14:textId="77777777" w:rsidTr="00D727FF">
        <w:trPr>
          <w:trHeight w:val="317"/>
        </w:trPr>
        <w:tc>
          <w:tcPr>
            <w:tcW w:w="1075" w:type="dxa"/>
            <w:tcBorders>
              <w:right w:val="single" w:sz="4" w:space="0" w:color="FFFFFF" w:themeColor="background1"/>
            </w:tcBorders>
            <w:shd w:val="clear" w:color="auto" w:fill="002060"/>
            <w:vAlign w:val="center"/>
          </w:tcPr>
          <w:p w14:paraId="7C98EC39" w14:textId="0EE1B9DA" w:rsidR="00D727FF" w:rsidRPr="00640D01" w:rsidRDefault="00D727FF" w:rsidP="007334CB">
            <w:pPr>
              <w:pStyle w:val="TableHeader"/>
            </w:pPr>
            <w:r w:rsidRPr="00640D01">
              <w:t>Date</w:t>
            </w:r>
          </w:p>
        </w:tc>
        <w:tc>
          <w:tcPr>
            <w:tcW w:w="8275" w:type="dxa"/>
            <w:tcBorders>
              <w:left w:val="single" w:sz="4" w:space="0" w:color="FFFFFF" w:themeColor="background1"/>
            </w:tcBorders>
            <w:shd w:val="clear" w:color="auto" w:fill="002060"/>
            <w:vAlign w:val="center"/>
          </w:tcPr>
          <w:p w14:paraId="11AB34B4" w14:textId="107806EA" w:rsidR="00D727FF" w:rsidRPr="00640D01" w:rsidRDefault="00D727FF" w:rsidP="007334CB">
            <w:pPr>
              <w:pStyle w:val="TableHeader"/>
            </w:pPr>
            <w:r w:rsidRPr="00640D01">
              <w:t>Update(s)</w:t>
            </w:r>
          </w:p>
        </w:tc>
      </w:tr>
      <w:tr w:rsidR="00D727FF" w:rsidRPr="00640D01" w14:paraId="55AA4312" w14:textId="77777777" w:rsidTr="00D727FF">
        <w:trPr>
          <w:trHeight w:val="317"/>
        </w:trPr>
        <w:tc>
          <w:tcPr>
            <w:tcW w:w="1075" w:type="dxa"/>
            <w:vAlign w:val="center"/>
          </w:tcPr>
          <w:p w14:paraId="70A9BB62" w14:textId="445F1215" w:rsidR="00D727FF" w:rsidRPr="00640D01" w:rsidRDefault="00D727FF" w:rsidP="007334CB">
            <w:pPr>
              <w:pStyle w:val="TableText"/>
            </w:pPr>
            <w:r w:rsidRPr="00640D01">
              <w:t>11/12/2024</w:t>
            </w:r>
          </w:p>
        </w:tc>
        <w:tc>
          <w:tcPr>
            <w:tcW w:w="8275" w:type="dxa"/>
            <w:vAlign w:val="center"/>
          </w:tcPr>
          <w:p w14:paraId="39D9B93C" w14:textId="5576EDFA" w:rsidR="00B82961" w:rsidRPr="00640D01" w:rsidRDefault="00B82961" w:rsidP="007334CB">
            <w:pPr>
              <w:pStyle w:val="TableBullet"/>
            </w:pPr>
            <w:r w:rsidRPr="00640D01">
              <w:t>Autofill</w:t>
            </w:r>
            <w:r w:rsidR="00115C30" w:rsidRPr="00640D01">
              <w:t>ed</w:t>
            </w:r>
            <w:r w:rsidRPr="00640D01">
              <w:t xml:space="preserve"> certain elements in </w:t>
            </w:r>
            <w:r w:rsidR="007334CB" w:rsidRPr="00640D01">
              <w:t xml:space="preserve">the </w:t>
            </w:r>
            <w:r w:rsidRPr="00640D01">
              <w:t xml:space="preserve">document from </w:t>
            </w:r>
            <w:r w:rsidR="008753A7" w:rsidRPr="00640D01">
              <w:t xml:space="preserve">the </w:t>
            </w:r>
            <w:r w:rsidRPr="00640D01">
              <w:t>first page. The user can now select the MPO, region, conformity year</w:t>
            </w:r>
            <w:r w:rsidR="00112EFB" w:rsidRPr="00640D01">
              <w:t>, etc.</w:t>
            </w:r>
            <w:r w:rsidRPr="00640D01">
              <w:t xml:space="preserve"> </w:t>
            </w:r>
            <w:r w:rsidR="00115C30" w:rsidRPr="00640D01">
              <w:t>o</w:t>
            </w:r>
            <w:r w:rsidRPr="00640D01">
              <w:t>n the front page and populate document accordingly.</w:t>
            </w:r>
          </w:p>
          <w:p w14:paraId="13782418" w14:textId="4E9482D6" w:rsidR="00CE703E" w:rsidRPr="00640D01" w:rsidRDefault="00CE703E" w:rsidP="007334CB">
            <w:pPr>
              <w:pStyle w:val="TableBullet"/>
            </w:pPr>
            <w:r w:rsidRPr="00640D01">
              <w:t xml:space="preserve">Added this update log. </w:t>
            </w:r>
            <w:r w:rsidR="00115C30" w:rsidRPr="00640D01">
              <w:t xml:space="preserve">This ensures </w:t>
            </w:r>
            <w:r w:rsidRPr="00640D01">
              <w:t>working group members can easily recognize updates to the template.</w:t>
            </w:r>
          </w:p>
          <w:p w14:paraId="7E64707C" w14:textId="78DF42D3" w:rsidR="00CE703E" w:rsidRPr="00640D01" w:rsidRDefault="00CE703E" w:rsidP="007334CB">
            <w:pPr>
              <w:pStyle w:val="TableBullet"/>
            </w:pPr>
            <w:r w:rsidRPr="00640D01">
              <w:t>Changed Tables 4-5 and 4-6. Updated the tables to reflect MOVES4 updates (</w:t>
            </w:r>
            <w:r w:rsidR="008753A7" w:rsidRPr="00640D01">
              <w:t xml:space="preserve">including </w:t>
            </w:r>
            <w:r w:rsidRPr="00640D01">
              <w:t>electricity fuel type, etc.).</w:t>
            </w:r>
          </w:p>
          <w:p w14:paraId="3A868507" w14:textId="25D1A3F0" w:rsidR="00D727FF" w:rsidRPr="00640D01" w:rsidRDefault="008753A7" w:rsidP="007334CB">
            <w:pPr>
              <w:pStyle w:val="TableBullet"/>
            </w:pPr>
            <w:r w:rsidRPr="00640D01">
              <w:t xml:space="preserve">In Section </w:t>
            </w:r>
            <w:r w:rsidR="00D727FF" w:rsidRPr="00640D01">
              <w:t>5</w:t>
            </w:r>
            <w:r w:rsidRPr="00640D01">
              <w:t>.</w:t>
            </w:r>
            <w:r w:rsidR="00D727FF" w:rsidRPr="00640D01">
              <w:t>1</w:t>
            </w:r>
            <w:r w:rsidRPr="00640D01">
              <w:t>, a</w:t>
            </w:r>
            <w:r w:rsidR="00D727FF" w:rsidRPr="00640D01">
              <w:t xml:space="preserve">dded </w:t>
            </w:r>
            <w:r w:rsidR="00196087" w:rsidRPr="00640D01">
              <w:t xml:space="preserve">the </w:t>
            </w:r>
            <w:r w:rsidR="00D727FF" w:rsidRPr="00640D01">
              <w:t xml:space="preserve">option to change </w:t>
            </w:r>
            <w:r w:rsidR="00196087" w:rsidRPr="00640D01">
              <w:t xml:space="preserve">the </w:t>
            </w:r>
            <w:r w:rsidR="00D727FF" w:rsidRPr="00640D01">
              <w:t xml:space="preserve">MOVES version and description based on comments from </w:t>
            </w:r>
            <w:r w:rsidRPr="00640D01">
              <w:t>the w</w:t>
            </w:r>
            <w:r w:rsidR="00D727FF" w:rsidRPr="00640D01">
              <w:t xml:space="preserve">orking </w:t>
            </w:r>
            <w:r w:rsidRPr="00640D01">
              <w:t>g</w:t>
            </w:r>
            <w:r w:rsidR="00D727FF" w:rsidRPr="00640D01">
              <w:t>roup. This ensure</w:t>
            </w:r>
            <w:r w:rsidR="00196087" w:rsidRPr="00640D01">
              <w:t>s</w:t>
            </w:r>
            <w:r w:rsidR="00D727FF" w:rsidRPr="00640D01">
              <w:t xml:space="preserve"> future versions of MOVES can be inserted easily.</w:t>
            </w:r>
          </w:p>
        </w:tc>
      </w:tr>
      <w:tr w:rsidR="00D727FF" w:rsidRPr="00640D01" w14:paraId="7EDD90A3" w14:textId="77777777" w:rsidTr="00D727FF">
        <w:trPr>
          <w:trHeight w:val="317"/>
        </w:trPr>
        <w:tc>
          <w:tcPr>
            <w:tcW w:w="1075" w:type="dxa"/>
            <w:vAlign w:val="center"/>
          </w:tcPr>
          <w:p w14:paraId="56862346" w14:textId="0248247A" w:rsidR="00D727FF" w:rsidRPr="00640D01" w:rsidRDefault="008D27E7" w:rsidP="007334CB">
            <w:pPr>
              <w:pStyle w:val="TableText"/>
            </w:pPr>
            <w:r>
              <w:t>1/23/2025</w:t>
            </w:r>
          </w:p>
        </w:tc>
        <w:tc>
          <w:tcPr>
            <w:tcW w:w="8275" w:type="dxa"/>
            <w:vAlign w:val="center"/>
          </w:tcPr>
          <w:p w14:paraId="7304166F" w14:textId="109B1429" w:rsidR="00D727FF" w:rsidRPr="00640D01" w:rsidRDefault="008D27E7" w:rsidP="007334CB">
            <w:pPr>
              <w:pStyle w:val="TableBullet"/>
            </w:pPr>
            <w:r>
              <w:t>Incorporated feedback from working group members.</w:t>
            </w:r>
          </w:p>
        </w:tc>
      </w:tr>
      <w:tr w:rsidR="00D727FF" w:rsidRPr="00640D01" w14:paraId="0A6C7565" w14:textId="77777777" w:rsidTr="00D727FF">
        <w:trPr>
          <w:trHeight w:val="317"/>
        </w:trPr>
        <w:tc>
          <w:tcPr>
            <w:tcW w:w="1075" w:type="dxa"/>
            <w:vAlign w:val="center"/>
          </w:tcPr>
          <w:p w14:paraId="4C46B503" w14:textId="77777777" w:rsidR="00D727FF" w:rsidRPr="00640D01" w:rsidRDefault="00D727FF" w:rsidP="007334CB">
            <w:pPr>
              <w:pStyle w:val="TableText"/>
            </w:pPr>
          </w:p>
        </w:tc>
        <w:tc>
          <w:tcPr>
            <w:tcW w:w="8275" w:type="dxa"/>
            <w:vAlign w:val="center"/>
          </w:tcPr>
          <w:p w14:paraId="4F9B0DC7" w14:textId="77777777" w:rsidR="00D727FF" w:rsidRPr="00640D01" w:rsidRDefault="00D727FF" w:rsidP="007334CB">
            <w:pPr>
              <w:pStyle w:val="TableBullet"/>
            </w:pPr>
          </w:p>
        </w:tc>
      </w:tr>
    </w:tbl>
    <w:p w14:paraId="4CA8AE53" w14:textId="257872CA" w:rsidR="009C579A" w:rsidRPr="00640D01" w:rsidRDefault="009C579A" w:rsidP="007334CB">
      <w:r w:rsidRPr="00640D01">
        <w:br w:type="page"/>
      </w:r>
    </w:p>
    <w:sdt>
      <w:sdtPr>
        <w:rPr>
          <w:rFonts w:ascii="Times New Roman" w:eastAsiaTheme="minorHAnsi" w:hAnsi="Times New Roman" w:cstheme="minorBidi"/>
          <w:b w:val="0"/>
          <w:caps w:val="0"/>
          <w:color w:val="auto"/>
          <w:sz w:val="24"/>
          <w:szCs w:val="22"/>
        </w:rPr>
        <w:id w:val="618953961"/>
        <w:docPartObj>
          <w:docPartGallery w:val="Table of Contents"/>
          <w:docPartUnique/>
        </w:docPartObj>
      </w:sdtPr>
      <w:sdtEndPr>
        <w:rPr>
          <w:bCs/>
        </w:rPr>
      </w:sdtEndPr>
      <w:sdtContent>
        <w:p w14:paraId="1F012C94" w14:textId="77777777" w:rsidR="006C29B6" w:rsidRDefault="009C579A" w:rsidP="00176A31">
          <w:pPr>
            <w:pStyle w:val="Heading1notinTOC"/>
            <w:rPr>
              <w:noProof/>
            </w:rPr>
          </w:pPr>
          <w:r w:rsidRPr="00640D01">
            <w:t>Table of Contents</w:t>
          </w:r>
          <w:r w:rsidR="008753A7" w:rsidRPr="00640D01">
            <w:rPr>
              <w:b w:val="0"/>
              <w:bCs/>
            </w:rPr>
            <w:fldChar w:fldCharType="begin"/>
          </w:r>
          <w:r w:rsidR="008753A7" w:rsidRPr="00640D01">
            <w:rPr>
              <w:b w:val="0"/>
              <w:bCs/>
            </w:rPr>
            <w:instrText xml:space="preserve"> TOC \o "2-3" \h \z \t "Heading 1,1" </w:instrText>
          </w:r>
          <w:r w:rsidR="008753A7" w:rsidRPr="00640D01">
            <w:rPr>
              <w:b w:val="0"/>
              <w:bCs/>
            </w:rPr>
            <w:fldChar w:fldCharType="separate"/>
          </w:r>
        </w:p>
        <w:p w14:paraId="0B17F419" w14:textId="4EB096EB" w:rsidR="006C29B6" w:rsidRDefault="006C29B6">
          <w:pPr>
            <w:pStyle w:val="TOC1"/>
            <w:tabs>
              <w:tab w:val="right" w:leader="dot" w:pos="9350"/>
            </w:tabs>
            <w:rPr>
              <w:rFonts w:asciiTheme="minorHAnsi" w:eastAsiaTheme="minorEastAsia" w:hAnsiTheme="minorHAnsi"/>
              <w:noProof/>
              <w:szCs w:val="24"/>
            </w:rPr>
          </w:pPr>
          <w:hyperlink w:anchor="_Toc190242670" w:history="1">
            <w:r w:rsidRPr="00B37BB0">
              <w:rPr>
                <w:rStyle w:val="Hyperlink"/>
                <w:noProof/>
              </w:rPr>
              <w:t>List of Tables</w:t>
            </w:r>
            <w:r>
              <w:rPr>
                <w:noProof/>
                <w:webHidden/>
              </w:rPr>
              <w:tab/>
            </w:r>
            <w:r>
              <w:rPr>
                <w:noProof/>
                <w:webHidden/>
              </w:rPr>
              <w:fldChar w:fldCharType="begin"/>
            </w:r>
            <w:r>
              <w:rPr>
                <w:noProof/>
                <w:webHidden/>
              </w:rPr>
              <w:instrText xml:space="preserve"> PAGEREF _Toc190242670 \h </w:instrText>
            </w:r>
            <w:r>
              <w:rPr>
                <w:noProof/>
                <w:webHidden/>
              </w:rPr>
            </w:r>
            <w:r>
              <w:rPr>
                <w:noProof/>
                <w:webHidden/>
              </w:rPr>
              <w:fldChar w:fldCharType="separate"/>
            </w:r>
            <w:r>
              <w:rPr>
                <w:noProof/>
                <w:webHidden/>
              </w:rPr>
              <w:t>5</w:t>
            </w:r>
            <w:r>
              <w:rPr>
                <w:noProof/>
                <w:webHidden/>
              </w:rPr>
              <w:fldChar w:fldCharType="end"/>
            </w:r>
          </w:hyperlink>
        </w:p>
        <w:p w14:paraId="30FC1DC1" w14:textId="75D5F952" w:rsidR="006C29B6" w:rsidRDefault="006C29B6">
          <w:pPr>
            <w:pStyle w:val="TOC1"/>
            <w:tabs>
              <w:tab w:val="right" w:leader="dot" w:pos="9350"/>
            </w:tabs>
            <w:rPr>
              <w:rFonts w:asciiTheme="minorHAnsi" w:eastAsiaTheme="minorEastAsia" w:hAnsiTheme="minorHAnsi"/>
              <w:noProof/>
              <w:szCs w:val="24"/>
            </w:rPr>
          </w:pPr>
          <w:hyperlink w:anchor="_Toc190242671" w:history="1">
            <w:r w:rsidRPr="00B37BB0">
              <w:rPr>
                <w:rStyle w:val="Hyperlink"/>
                <w:noProof/>
              </w:rPr>
              <w:t>List of Figures</w:t>
            </w:r>
            <w:r>
              <w:rPr>
                <w:noProof/>
                <w:webHidden/>
              </w:rPr>
              <w:tab/>
            </w:r>
            <w:r>
              <w:rPr>
                <w:noProof/>
                <w:webHidden/>
              </w:rPr>
              <w:fldChar w:fldCharType="begin"/>
            </w:r>
            <w:r>
              <w:rPr>
                <w:noProof/>
                <w:webHidden/>
              </w:rPr>
              <w:instrText xml:space="preserve"> PAGEREF _Toc190242671 \h </w:instrText>
            </w:r>
            <w:r>
              <w:rPr>
                <w:noProof/>
                <w:webHidden/>
              </w:rPr>
            </w:r>
            <w:r>
              <w:rPr>
                <w:noProof/>
                <w:webHidden/>
              </w:rPr>
              <w:fldChar w:fldCharType="separate"/>
            </w:r>
            <w:r>
              <w:rPr>
                <w:noProof/>
                <w:webHidden/>
              </w:rPr>
              <w:t>5</w:t>
            </w:r>
            <w:r>
              <w:rPr>
                <w:noProof/>
                <w:webHidden/>
              </w:rPr>
              <w:fldChar w:fldCharType="end"/>
            </w:r>
          </w:hyperlink>
        </w:p>
        <w:p w14:paraId="530E3134" w14:textId="2B3F945E" w:rsidR="006C29B6" w:rsidRDefault="006C29B6">
          <w:pPr>
            <w:pStyle w:val="TOC1"/>
            <w:tabs>
              <w:tab w:val="right" w:leader="dot" w:pos="9350"/>
            </w:tabs>
            <w:rPr>
              <w:rFonts w:asciiTheme="minorHAnsi" w:eastAsiaTheme="minorEastAsia" w:hAnsiTheme="minorHAnsi"/>
              <w:noProof/>
              <w:szCs w:val="24"/>
            </w:rPr>
          </w:pPr>
          <w:hyperlink w:anchor="_Toc190242672" w:history="1">
            <w:r w:rsidRPr="00B37BB0">
              <w:rPr>
                <w:rStyle w:val="Hyperlink"/>
                <w:noProof/>
              </w:rPr>
              <w:t>List of Abbreviations</w:t>
            </w:r>
            <w:r>
              <w:rPr>
                <w:noProof/>
                <w:webHidden/>
              </w:rPr>
              <w:tab/>
            </w:r>
            <w:r>
              <w:rPr>
                <w:noProof/>
                <w:webHidden/>
              </w:rPr>
              <w:fldChar w:fldCharType="begin"/>
            </w:r>
            <w:r>
              <w:rPr>
                <w:noProof/>
                <w:webHidden/>
              </w:rPr>
              <w:instrText xml:space="preserve"> PAGEREF _Toc190242672 \h </w:instrText>
            </w:r>
            <w:r>
              <w:rPr>
                <w:noProof/>
                <w:webHidden/>
              </w:rPr>
            </w:r>
            <w:r>
              <w:rPr>
                <w:noProof/>
                <w:webHidden/>
              </w:rPr>
              <w:fldChar w:fldCharType="separate"/>
            </w:r>
            <w:r>
              <w:rPr>
                <w:noProof/>
                <w:webHidden/>
              </w:rPr>
              <w:t>6</w:t>
            </w:r>
            <w:r>
              <w:rPr>
                <w:noProof/>
                <w:webHidden/>
              </w:rPr>
              <w:fldChar w:fldCharType="end"/>
            </w:r>
          </w:hyperlink>
        </w:p>
        <w:p w14:paraId="62828BA7" w14:textId="76473332" w:rsidR="006C29B6" w:rsidRDefault="006C29B6">
          <w:pPr>
            <w:pStyle w:val="TOC1"/>
            <w:tabs>
              <w:tab w:val="left" w:pos="480"/>
              <w:tab w:val="right" w:leader="dot" w:pos="9350"/>
            </w:tabs>
            <w:rPr>
              <w:rFonts w:asciiTheme="minorHAnsi" w:eastAsiaTheme="minorEastAsia" w:hAnsiTheme="minorHAnsi"/>
              <w:noProof/>
              <w:szCs w:val="24"/>
            </w:rPr>
          </w:pPr>
          <w:hyperlink w:anchor="_Toc190242673" w:history="1">
            <w:r w:rsidRPr="00B37BB0">
              <w:rPr>
                <w:rStyle w:val="Hyperlink"/>
                <w:noProof/>
              </w:rPr>
              <w:t>1.</w:t>
            </w:r>
            <w:r>
              <w:rPr>
                <w:rFonts w:asciiTheme="minorHAnsi" w:eastAsiaTheme="minorEastAsia" w:hAnsiTheme="minorHAnsi"/>
                <w:noProof/>
                <w:szCs w:val="24"/>
              </w:rPr>
              <w:tab/>
            </w:r>
            <w:r w:rsidRPr="00B37BB0">
              <w:rPr>
                <w:rStyle w:val="Hyperlink"/>
                <w:noProof/>
              </w:rPr>
              <w:t>Executive Summary</w:t>
            </w:r>
            <w:r>
              <w:rPr>
                <w:noProof/>
                <w:webHidden/>
              </w:rPr>
              <w:tab/>
            </w:r>
            <w:r>
              <w:rPr>
                <w:noProof/>
                <w:webHidden/>
              </w:rPr>
              <w:fldChar w:fldCharType="begin"/>
            </w:r>
            <w:r>
              <w:rPr>
                <w:noProof/>
                <w:webHidden/>
              </w:rPr>
              <w:instrText xml:space="preserve"> PAGEREF _Toc190242673 \h </w:instrText>
            </w:r>
            <w:r>
              <w:rPr>
                <w:noProof/>
                <w:webHidden/>
              </w:rPr>
            </w:r>
            <w:r>
              <w:rPr>
                <w:noProof/>
                <w:webHidden/>
              </w:rPr>
              <w:fldChar w:fldCharType="separate"/>
            </w:r>
            <w:r>
              <w:rPr>
                <w:noProof/>
                <w:webHidden/>
              </w:rPr>
              <w:t>9</w:t>
            </w:r>
            <w:r>
              <w:rPr>
                <w:noProof/>
                <w:webHidden/>
              </w:rPr>
              <w:fldChar w:fldCharType="end"/>
            </w:r>
          </w:hyperlink>
        </w:p>
        <w:p w14:paraId="453477DC" w14:textId="760E5711" w:rsidR="006C29B6" w:rsidRDefault="006C29B6">
          <w:pPr>
            <w:pStyle w:val="TOC2"/>
            <w:tabs>
              <w:tab w:val="left" w:pos="880"/>
              <w:tab w:val="right" w:leader="dot" w:pos="9350"/>
            </w:tabs>
            <w:rPr>
              <w:rFonts w:asciiTheme="minorHAnsi" w:eastAsiaTheme="minorEastAsia" w:hAnsiTheme="minorHAnsi"/>
              <w:noProof/>
              <w:szCs w:val="24"/>
            </w:rPr>
          </w:pPr>
          <w:hyperlink w:anchor="_Toc190242674" w:history="1">
            <w:r w:rsidRPr="00B37BB0">
              <w:rPr>
                <w:rStyle w:val="Hyperlink"/>
                <w:noProof/>
              </w:rPr>
              <w:t>1.1</w:t>
            </w:r>
            <w:r>
              <w:rPr>
                <w:rFonts w:asciiTheme="minorHAnsi" w:eastAsiaTheme="minorEastAsia" w:hAnsiTheme="minorHAnsi"/>
                <w:noProof/>
                <w:szCs w:val="24"/>
              </w:rPr>
              <w:tab/>
            </w:r>
            <w:r w:rsidRPr="00B37BB0">
              <w:rPr>
                <w:rStyle w:val="Hyperlink"/>
                <w:noProof/>
              </w:rPr>
              <w:t>Conformity Overview</w:t>
            </w:r>
            <w:r>
              <w:rPr>
                <w:noProof/>
                <w:webHidden/>
              </w:rPr>
              <w:tab/>
            </w:r>
            <w:r>
              <w:rPr>
                <w:noProof/>
                <w:webHidden/>
              </w:rPr>
              <w:fldChar w:fldCharType="begin"/>
            </w:r>
            <w:r>
              <w:rPr>
                <w:noProof/>
                <w:webHidden/>
              </w:rPr>
              <w:instrText xml:space="preserve"> PAGEREF _Toc190242674 \h </w:instrText>
            </w:r>
            <w:r>
              <w:rPr>
                <w:noProof/>
                <w:webHidden/>
              </w:rPr>
            </w:r>
            <w:r>
              <w:rPr>
                <w:noProof/>
                <w:webHidden/>
              </w:rPr>
              <w:fldChar w:fldCharType="separate"/>
            </w:r>
            <w:r>
              <w:rPr>
                <w:noProof/>
                <w:webHidden/>
              </w:rPr>
              <w:t>9</w:t>
            </w:r>
            <w:r>
              <w:rPr>
                <w:noProof/>
                <w:webHidden/>
              </w:rPr>
              <w:fldChar w:fldCharType="end"/>
            </w:r>
          </w:hyperlink>
        </w:p>
        <w:p w14:paraId="08E705DF" w14:textId="3B978E95" w:rsidR="006C29B6" w:rsidRDefault="006C29B6">
          <w:pPr>
            <w:pStyle w:val="TOC2"/>
            <w:tabs>
              <w:tab w:val="left" w:pos="880"/>
              <w:tab w:val="right" w:leader="dot" w:pos="9350"/>
            </w:tabs>
            <w:rPr>
              <w:rFonts w:asciiTheme="minorHAnsi" w:eastAsiaTheme="minorEastAsia" w:hAnsiTheme="minorHAnsi"/>
              <w:noProof/>
              <w:szCs w:val="24"/>
            </w:rPr>
          </w:pPr>
          <w:hyperlink w:anchor="_Toc190242675" w:history="1">
            <w:r w:rsidRPr="00B37BB0">
              <w:rPr>
                <w:rStyle w:val="Hyperlink"/>
                <w:noProof/>
              </w:rPr>
              <w:t>1.2</w:t>
            </w:r>
            <w:r>
              <w:rPr>
                <w:rFonts w:asciiTheme="minorHAnsi" w:eastAsiaTheme="minorEastAsia" w:hAnsiTheme="minorHAnsi"/>
                <w:noProof/>
                <w:szCs w:val="24"/>
              </w:rPr>
              <w:tab/>
            </w:r>
            <w:r w:rsidRPr="00B37BB0">
              <w:rPr>
                <w:rStyle w:val="Hyperlink"/>
                <w:noProof/>
              </w:rPr>
              <w:t>Air Quality and Nonattainment Area</w:t>
            </w:r>
            <w:r>
              <w:rPr>
                <w:noProof/>
                <w:webHidden/>
              </w:rPr>
              <w:tab/>
            </w:r>
            <w:r>
              <w:rPr>
                <w:noProof/>
                <w:webHidden/>
              </w:rPr>
              <w:fldChar w:fldCharType="begin"/>
            </w:r>
            <w:r>
              <w:rPr>
                <w:noProof/>
                <w:webHidden/>
              </w:rPr>
              <w:instrText xml:space="preserve"> PAGEREF _Toc190242675 \h </w:instrText>
            </w:r>
            <w:r>
              <w:rPr>
                <w:noProof/>
                <w:webHidden/>
              </w:rPr>
            </w:r>
            <w:r>
              <w:rPr>
                <w:noProof/>
                <w:webHidden/>
              </w:rPr>
              <w:fldChar w:fldCharType="separate"/>
            </w:r>
            <w:r>
              <w:rPr>
                <w:noProof/>
                <w:webHidden/>
              </w:rPr>
              <w:t>10</w:t>
            </w:r>
            <w:r>
              <w:rPr>
                <w:noProof/>
                <w:webHidden/>
              </w:rPr>
              <w:fldChar w:fldCharType="end"/>
            </w:r>
          </w:hyperlink>
        </w:p>
        <w:p w14:paraId="21D8F269" w14:textId="0A01D1C7" w:rsidR="006C29B6" w:rsidRDefault="006C29B6">
          <w:pPr>
            <w:pStyle w:val="TOC3"/>
            <w:tabs>
              <w:tab w:val="left" w:pos="1320"/>
              <w:tab w:val="right" w:leader="dot" w:pos="9350"/>
            </w:tabs>
            <w:rPr>
              <w:rFonts w:asciiTheme="minorHAnsi" w:eastAsiaTheme="minorEastAsia" w:hAnsiTheme="minorHAnsi"/>
              <w:noProof/>
              <w:szCs w:val="24"/>
            </w:rPr>
          </w:pPr>
          <w:hyperlink w:anchor="_Toc190242676" w:history="1">
            <w:r w:rsidRPr="00B37BB0">
              <w:rPr>
                <w:rStyle w:val="Hyperlink"/>
                <w:noProof/>
              </w:rPr>
              <w:t>1.2.1</w:t>
            </w:r>
            <w:r>
              <w:rPr>
                <w:rFonts w:asciiTheme="minorHAnsi" w:eastAsiaTheme="minorEastAsia" w:hAnsiTheme="minorHAnsi"/>
                <w:noProof/>
                <w:szCs w:val="24"/>
              </w:rPr>
              <w:tab/>
            </w:r>
            <w:r w:rsidRPr="00B37BB0">
              <w:rPr>
                <w:rStyle w:val="Hyperlink"/>
                <w:noProof/>
              </w:rPr>
              <w:t>Air Pollution</w:t>
            </w:r>
            <w:r>
              <w:rPr>
                <w:noProof/>
                <w:webHidden/>
              </w:rPr>
              <w:tab/>
            </w:r>
            <w:r>
              <w:rPr>
                <w:noProof/>
                <w:webHidden/>
              </w:rPr>
              <w:fldChar w:fldCharType="begin"/>
            </w:r>
            <w:r>
              <w:rPr>
                <w:noProof/>
                <w:webHidden/>
              </w:rPr>
              <w:instrText xml:space="preserve"> PAGEREF _Toc190242676 \h </w:instrText>
            </w:r>
            <w:r>
              <w:rPr>
                <w:noProof/>
                <w:webHidden/>
              </w:rPr>
            </w:r>
            <w:r>
              <w:rPr>
                <w:noProof/>
                <w:webHidden/>
              </w:rPr>
              <w:fldChar w:fldCharType="separate"/>
            </w:r>
            <w:r>
              <w:rPr>
                <w:noProof/>
                <w:webHidden/>
              </w:rPr>
              <w:t>10</w:t>
            </w:r>
            <w:r>
              <w:rPr>
                <w:noProof/>
                <w:webHidden/>
              </w:rPr>
              <w:fldChar w:fldCharType="end"/>
            </w:r>
          </w:hyperlink>
        </w:p>
        <w:p w14:paraId="1AD87B0A" w14:textId="4FBD196F" w:rsidR="006C29B6" w:rsidRDefault="006C29B6">
          <w:pPr>
            <w:pStyle w:val="TOC3"/>
            <w:tabs>
              <w:tab w:val="left" w:pos="1320"/>
              <w:tab w:val="right" w:leader="dot" w:pos="9350"/>
            </w:tabs>
            <w:rPr>
              <w:rFonts w:asciiTheme="minorHAnsi" w:eastAsiaTheme="minorEastAsia" w:hAnsiTheme="minorHAnsi"/>
              <w:noProof/>
              <w:szCs w:val="24"/>
            </w:rPr>
          </w:pPr>
          <w:hyperlink w:anchor="_Toc190242677" w:history="1">
            <w:r w:rsidRPr="00B37BB0">
              <w:rPr>
                <w:rStyle w:val="Hyperlink"/>
                <w:noProof/>
              </w:rPr>
              <w:t>1.2.2</w:t>
            </w:r>
            <w:r>
              <w:rPr>
                <w:rFonts w:asciiTheme="minorHAnsi" w:eastAsiaTheme="minorEastAsia" w:hAnsiTheme="minorHAnsi"/>
                <w:noProof/>
                <w:szCs w:val="24"/>
              </w:rPr>
              <w:tab/>
            </w:r>
            <w:r w:rsidRPr="00B37BB0">
              <w:rPr>
                <w:rStyle w:val="Hyperlink"/>
                <w:noProof/>
              </w:rPr>
              <w:t>Nonattainment Area</w:t>
            </w:r>
            <w:r>
              <w:rPr>
                <w:noProof/>
                <w:webHidden/>
              </w:rPr>
              <w:tab/>
            </w:r>
            <w:r>
              <w:rPr>
                <w:noProof/>
                <w:webHidden/>
              </w:rPr>
              <w:fldChar w:fldCharType="begin"/>
            </w:r>
            <w:r>
              <w:rPr>
                <w:noProof/>
                <w:webHidden/>
              </w:rPr>
              <w:instrText xml:space="preserve"> PAGEREF _Toc190242677 \h </w:instrText>
            </w:r>
            <w:r>
              <w:rPr>
                <w:noProof/>
                <w:webHidden/>
              </w:rPr>
            </w:r>
            <w:r>
              <w:rPr>
                <w:noProof/>
                <w:webHidden/>
              </w:rPr>
              <w:fldChar w:fldCharType="separate"/>
            </w:r>
            <w:r>
              <w:rPr>
                <w:noProof/>
                <w:webHidden/>
              </w:rPr>
              <w:t>11</w:t>
            </w:r>
            <w:r>
              <w:rPr>
                <w:noProof/>
                <w:webHidden/>
              </w:rPr>
              <w:fldChar w:fldCharType="end"/>
            </w:r>
          </w:hyperlink>
        </w:p>
        <w:p w14:paraId="7DF500C0" w14:textId="71FEF2AF" w:rsidR="006C29B6" w:rsidRDefault="006C29B6">
          <w:pPr>
            <w:pStyle w:val="TOC2"/>
            <w:tabs>
              <w:tab w:val="left" w:pos="880"/>
              <w:tab w:val="right" w:leader="dot" w:pos="9350"/>
            </w:tabs>
            <w:rPr>
              <w:rFonts w:asciiTheme="minorHAnsi" w:eastAsiaTheme="minorEastAsia" w:hAnsiTheme="minorHAnsi"/>
              <w:noProof/>
              <w:szCs w:val="24"/>
            </w:rPr>
          </w:pPr>
          <w:hyperlink w:anchor="_Toc190242678" w:history="1">
            <w:r w:rsidRPr="00B37BB0">
              <w:rPr>
                <w:rStyle w:val="Hyperlink"/>
                <w:noProof/>
              </w:rPr>
              <w:t>1.3</w:t>
            </w:r>
            <w:r>
              <w:rPr>
                <w:rFonts w:asciiTheme="minorHAnsi" w:eastAsiaTheme="minorEastAsia" w:hAnsiTheme="minorHAnsi"/>
                <w:noProof/>
                <w:szCs w:val="24"/>
              </w:rPr>
              <w:tab/>
            </w:r>
            <w:r w:rsidRPr="00B37BB0">
              <w:rPr>
                <w:rStyle w:val="Hyperlink"/>
                <w:noProof/>
              </w:rPr>
              <w:t>RTP/MTP and TIP</w:t>
            </w:r>
            <w:r>
              <w:rPr>
                <w:noProof/>
                <w:webHidden/>
              </w:rPr>
              <w:tab/>
            </w:r>
            <w:r>
              <w:rPr>
                <w:noProof/>
                <w:webHidden/>
              </w:rPr>
              <w:fldChar w:fldCharType="begin"/>
            </w:r>
            <w:r>
              <w:rPr>
                <w:noProof/>
                <w:webHidden/>
              </w:rPr>
              <w:instrText xml:space="preserve"> PAGEREF _Toc190242678 \h </w:instrText>
            </w:r>
            <w:r>
              <w:rPr>
                <w:noProof/>
                <w:webHidden/>
              </w:rPr>
            </w:r>
            <w:r>
              <w:rPr>
                <w:noProof/>
                <w:webHidden/>
              </w:rPr>
              <w:fldChar w:fldCharType="separate"/>
            </w:r>
            <w:r>
              <w:rPr>
                <w:noProof/>
                <w:webHidden/>
              </w:rPr>
              <w:t>12</w:t>
            </w:r>
            <w:r>
              <w:rPr>
                <w:noProof/>
                <w:webHidden/>
              </w:rPr>
              <w:fldChar w:fldCharType="end"/>
            </w:r>
          </w:hyperlink>
        </w:p>
        <w:p w14:paraId="3B2AC8F3" w14:textId="1874D316" w:rsidR="006C29B6" w:rsidRDefault="006C29B6">
          <w:pPr>
            <w:pStyle w:val="TOC2"/>
            <w:tabs>
              <w:tab w:val="left" w:pos="880"/>
              <w:tab w:val="right" w:leader="dot" w:pos="9350"/>
            </w:tabs>
            <w:rPr>
              <w:rFonts w:asciiTheme="minorHAnsi" w:eastAsiaTheme="minorEastAsia" w:hAnsiTheme="minorHAnsi"/>
              <w:noProof/>
              <w:szCs w:val="24"/>
            </w:rPr>
          </w:pPr>
          <w:hyperlink w:anchor="_Toc190242679" w:history="1">
            <w:r w:rsidRPr="00B37BB0">
              <w:rPr>
                <w:rStyle w:val="Hyperlink"/>
                <w:noProof/>
              </w:rPr>
              <w:t>1.4</w:t>
            </w:r>
            <w:r>
              <w:rPr>
                <w:rFonts w:asciiTheme="minorHAnsi" w:eastAsiaTheme="minorEastAsia" w:hAnsiTheme="minorHAnsi"/>
                <w:noProof/>
                <w:szCs w:val="24"/>
              </w:rPr>
              <w:tab/>
            </w:r>
            <w:r w:rsidRPr="00B37BB0">
              <w:rPr>
                <w:rStyle w:val="Hyperlink"/>
                <w:noProof/>
              </w:rPr>
              <w:t>Analysis</w:t>
            </w:r>
            <w:r>
              <w:rPr>
                <w:noProof/>
                <w:webHidden/>
              </w:rPr>
              <w:tab/>
            </w:r>
            <w:r>
              <w:rPr>
                <w:noProof/>
                <w:webHidden/>
              </w:rPr>
              <w:fldChar w:fldCharType="begin"/>
            </w:r>
            <w:r>
              <w:rPr>
                <w:noProof/>
                <w:webHidden/>
              </w:rPr>
              <w:instrText xml:space="preserve"> PAGEREF _Toc190242679 \h </w:instrText>
            </w:r>
            <w:r>
              <w:rPr>
                <w:noProof/>
                <w:webHidden/>
              </w:rPr>
            </w:r>
            <w:r>
              <w:rPr>
                <w:noProof/>
                <w:webHidden/>
              </w:rPr>
              <w:fldChar w:fldCharType="separate"/>
            </w:r>
            <w:r>
              <w:rPr>
                <w:noProof/>
                <w:webHidden/>
              </w:rPr>
              <w:t>12</w:t>
            </w:r>
            <w:r>
              <w:rPr>
                <w:noProof/>
                <w:webHidden/>
              </w:rPr>
              <w:fldChar w:fldCharType="end"/>
            </w:r>
          </w:hyperlink>
        </w:p>
        <w:p w14:paraId="736BEE36" w14:textId="34F3B887" w:rsidR="006C29B6" w:rsidRDefault="006C29B6">
          <w:pPr>
            <w:pStyle w:val="TOC2"/>
            <w:tabs>
              <w:tab w:val="left" w:pos="880"/>
              <w:tab w:val="right" w:leader="dot" w:pos="9350"/>
            </w:tabs>
            <w:rPr>
              <w:rFonts w:asciiTheme="minorHAnsi" w:eastAsiaTheme="minorEastAsia" w:hAnsiTheme="minorHAnsi"/>
              <w:noProof/>
              <w:szCs w:val="24"/>
            </w:rPr>
          </w:pPr>
          <w:hyperlink w:anchor="_Toc190242680" w:history="1">
            <w:r w:rsidRPr="00B37BB0">
              <w:rPr>
                <w:rStyle w:val="Hyperlink"/>
                <w:noProof/>
              </w:rPr>
              <w:t>1.5</w:t>
            </w:r>
            <w:r>
              <w:rPr>
                <w:rFonts w:asciiTheme="minorHAnsi" w:eastAsiaTheme="minorEastAsia" w:hAnsiTheme="minorHAnsi"/>
                <w:noProof/>
                <w:szCs w:val="24"/>
              </w:rPr>
              <w:tab/>
            </w:r>
            <w:r w:rsidRPr="00B37BB0">
              <w:rPr>
                <w:rStyle w:val="Hyperlink"/>
                <w:noProof/>
              </w:rPr>
              <w:t>Findings</w:t>
            </w:r>
            <w:r>
              <w:rPr>
                <w:noProof/>
                <w:webHidden/>
              </w:rPr>
              <w:tab/>
            </w:r>
            <w:r>
              <w:rPr>
                <w:noProof/>
                <w:webHidden/>
              </w:rPr>
              <w:fldChar w:fldCharType="begin"/>
            </w:r>
            <w:r>
              <w:rPr>
                <w:noProof/>
                <w:webHidden/>
              </w:rPr>
              <w:instrText xml:space="preserve"> PAGEREF _Toc190242680 \h </w:instrText>
            </w:r>
            <w:r>
              <w:rPr>
                <w:noProof/>
                <w:webHidden/>
              </w:rPr>
            </w:r>
            <w:r>
              <w:rPr>
                <w:noProof/>
                <w:webHidden/>
              </w:rPr>
              <w:fldChar w:fldCharType="separate"/>
            </w:r>
            <w:r>
              <w:rPr>
                <w:noProof/>
                <w:webHidden/>
              </w:rPr>
              <w:t>13</w:t>
            </w:r>
            <w:r>
              <w:rPr>
                <w:noProof/>
                <w:webHidden/>
              </w:rPr>
              <w:fldChar w:fldCharType="end"/>
            </w:r>
          </w:hyperlink>
        </w:p>
        <w:p w14:paraId="0E9E88F4" w14:textId="79066C75" w:rsidR="006C29B6" w:rsidRDefault="006C29B6">
          <w:pPr>
            <w:pStyle w:val="TOC1"/>
            <w:tabs>
              <w:tab w:val="left" w:pos="480"/>
              <w:tab w:val="right" w:leader="dot" w:pos="9350"/>
            </w:tabs>
            <w:rPr>
              <w:rFonts w:asciiTheme="minorHAnsi" w:eastAsiaTheme="minorEastAsia" w:hAnsiTheme="minorHAnsi"/>
              <w:noProof/>
              <w:szCs w:val="24"/>
            </w:rPr>
          </w:pPr>
          <w:hyperlink w:anchor="_Toc190242681" w:history="1">
            <w:r w:rsidRPr="00B37BB0">
              <w:rPr>
                <w:rStyle w:val="Hyperlink"/>
                <w:noProof/>
              </w:rPr>
              <w:t>2.</w:t>
            </w:r>
            <w:r>
              <w:rPr>
                <w:rFonts w:asciiTheme="minorHAnsi" w:eastAsiaTheme="minorEastAsia" w:hAnsiTheme="minorHAnsi"/>
                <w:noProof/>
                <w:szCs w:val="24"/>
              </w:rPr>
              <w:tab/>
            </w:r>
            <w:r w:rsidRPr="00B37BB0">
              <w:rPr>
                <w:rStyle w:val="Hyperlink"/>
                <w:noProof/>
              </w:rPr>
              <w:t>Transportation Conformity Requirements</w:t>
            </w:r>
            <w:r>
              <w:rPr>
                <w:noProof/>
                <w:webHidden/>
              </w:rPr>
              <w:tab/>
            </w:r>
            <w:r>
              <w:rPr>
                <w:noProof/>
                <w:webHidden/>
              </w:rPr>
              <w:fldChar w:fldCharType="begin"/>
            </w:r>
            <w:r>
              <w:rPr>
                <w:noProof/>
                <w:webHidden/>
              </w:rPr>
              <w:instrText xml:space="preserve"> PAGEREF _Toc190242681 \h </w:instrText>
            </w:r>
            <w:r>
              <w:rPr>
                <w:noProof/>
                <w:webHidden/>
              </w:rPr>
            </w:r>
            <w:r>
              <w:rPr>
                <w:noProof/>
                <w:webHidden/>
              </w:rPr>
              <w:fldChar w:fldCharType="separate"/>
            </w:r>
            <w:r>
              <w:rPr>
                <w:noProof/>
                <w:webHidden/>
              </w:rPr>
              <w:t>14</w:t>
            </w:r>
            <w:r>
              <w:rPr>
                <w:noProof/>
                <w:webHidden/>
              </w:rPr>
              <w:fldChar w:fldCharType="end"/>
            </w:r>
          </w:hyperlink>
        </w:p>
        <w:p w14:paraId="72F8AB84" w14:textId="72088B82" w:rsidR="006C29B6" w:rsidRDefault="006C29B6">
          <w:pPr>
            <w:pStyle w:val="TOC2"/>
            <w:tabs>
              <w:tab w:val="left" w:pos="880"/>
              <w:tab w:val="right" w:leader="dot" w:pos="9350"/>
            </w:tabs>
            <w:rPr>
              <w:rFonts w:asciiTheme="minorHAnsi" w:eastAsiaTheme="minorEastAsia" w:hAnsiTheme="minorHAnsi"/>
              <w:noProof/>
              <w:szCs w:val="24"/>
            </w:rPr>
          </w:pPr>
          <w:hyperlink w:anchor="_Toc190242682" w:history="1">
            <w:r w:rsidRPr="00B37BB0">
              <w:rPr>
                <w:rStyle w:val="Hyperlink"/>
                <w:noProof/>
              </w:rPr>
              <w:t>2.1</w:t>
            </w:r>
            <w:r>
              <w:rPr>
                <w:rFonts w:asciiTheme="minorHAnsi" w:eastAsiaTheme="minorEastAsia" w:hAnsiTheme="minorHAnsi"/>
                <w:noProof/>
                <w:szCs w:val="24"/>
              </w:rPr>
              <w:tab/>
            </w:r>
            <w:r w:rsidRPr="00B37BB0">
              <w:rPr>
                <w:rStyle w:val="Hyperlink"/>
                <w:noProof/>
              </w:rPr>
              <w:t>What Is Transportation Conformity?</w:t>
            </w:r>
            <w:r>
              <w:rPr>
                <w:noProof/>
                <w:webHidden/>
              </w:rPr>
              <w:tab/>
            </w:r>
            <w:r>
              <w:rPr>
                <w:noProof/>
                <w:webHidden/>
              </w:rPr>
              <w:fldChar w:fldCharType="begin"/>
            </w:r>
            <w:r>
              <w:rPr>
                <w:noProof/>
                <w:webHidden/>
              </w:rPr>
              <w:instrText xml:space="preserve"> PAGEREF _Toc190242682 \h </w:instrText>
            </w:r>
            <w:r>
              <w:rPr>
                <w:noProof/>
                <w:webHidden/>
              </w:rPr>
            </w:r>
            <w:r>
              <w:rPr>
                <w:noProof/>
                <w:webHidden/>
              </w:rPr>
              <w:fldChar w:fldCharType="separate"/>
            </w:r>
            <w:r>
              <w:rPr>
                <w:noProof/>
                <w:webHidden/>
              </w:rPr>
              <w:t>14</w:t>
            </w:r>
            <w:r>
              <w:rPr>
                <w:noProof/>
                <w:webHidden/>
              </w:rPr>
              <w:fldChar w:fldCharType="end"/>
            </w:r>
          </w:hyperlink>
        </w:p>
        <w:p w14:paraId="48D8CD9B" w14:textId="2519685D" w:rsidR="006C29B6" w:rsidRDefault="006C29B6">
          <w:pPr>
            <w:pStyle w:val="TOC2"/>
            <w:tabs>
              <w:tab w:val="left" w:pos="880"/>
              <w:tab w:val="right" w:leader="dot" w:pos="9350"/>
            </w:tabs>
            <w:rPr>
              <w:rFonts w:asciiTheme="minorHAnsi" w:eastAsiaTheme="minorEastAsia" w:hAnsiTheme="minorHAnsi"/>
              <w:noProof/>
              <w:szCs w:val="24"/>
            </w:rPr>
          </w:pPr>
          <w:hyperlink w:anchor="_Toc190242683" w:history="1">
            <w:r w:rsidRPr="00B37BB0">
              <w:rPr>
                <w:rStyle w:val="Hyperlink"/>
                <w:noProof/>
              </w:rPr>
              <w:t>2.2</w:t>
            </w:r>
            <w:r>
              <w:rPr>
                <w:rFonts w:asciiTheme="minorHAnsi" w:eastAsiaTheme="minorEastAsia" w:hAnsiTheme="minorHAnsi"/>
                <w:noProof/>
                <w:szCs w:val="24"/>
              </w:rPr>
              <w:tab/>
            </w:r>
            <w:r w:rsidRPr="00B37BB0">
              <w:rPr>
                <w:rStyle w:val="Hyperlink"/>
                <w:noProof/>
              </w:rPr>
              <w:t>Conformity Requirements</w:t>
            </w:r>
            <w:r>
              <w:rPr>
                <w:noProof/>
                <w:webHidden/>
              </w:rPr>
              <w:tab/>
            </w:r>
            <w:r>
              <w:rPr>
                <w:noProof/>
                <w:webHidden/>
              </w:rPr>
              <w:fldChar w:fldCharType="begin"/>
            </w:r>
            <w:r>
              <w:rPr>
                <w:noProof/>
                <w:webHidden/>
              </w:rPr>
              <w:instrText xml:space="preserve"> PAGEREF _Toc190242683 \h </w:instrText>
            </w:r>
            <w:r>
              <w:rPr>
                <w:noProof/>
                <w:webHidden/>
              </w:rPr>
            </w:r>
            <w:r>
              <w:rPr>
                <w:noProof/>
                <w:webHidden/>
              </w:rPr>
              <w:fldChar w:fldCharType="separate"/>
            </w:r>
            <w:r>
              <w:rPr>
                <w:noProof/>
                <w:webHidden/>
              </w:rPr>
              <w:t>14</w:t>
            </w:r>
            <w:r>
              <w:rPr>
                <w:noProof/>
                <w:webHidden/>
              </w:rPr>
              <w:fldChar w:fldCharType="end"/>
            </w:r>
          </w:hyperlink>
        </w:p>
        <w:p w14:paraId="40548774" w14:textId="6610E0B3" w:rsidR="006C29B6" w:rsidRDefault="006C29B6">
          <w:pPr>
            <w:pStyle w:val="TOC2"/>
            <w:tabs>
              <w:tab w:val="left" w:pos="880"/>
              <w:tab w:val="right" w:leader="dot" w:pos="9350"/>
            </w:tabs>
            <w:rPr>
              <w:rFonts w:asciiTheme="minorHAnsi" w:eastAsiaTheme="minorEastAsia" w:hAnsiTheme="minorHAnsi"/>
              <w:noProof/>
              <w:szCs w:val="24"/>
            </w:rPr>
          </w:pPr>
          <w:hyperlink w:anchor="_Toc190242684" w:history="1">
            <w:r w:rsidRPr="00B37BB0">
              <w:rPr>
                <w:rStyle w:val="Hyperlink"/>
                <w:noProof/>
              </w:rPr>
              <w:t>2.3</w:t>
            </w:r>
            <w:r>
              <w:rPr>
                <w:rFonts w:asciiTheme="minorHAnsi" w:eastAsiaTheme="minorEastAsia" w:hAnsiTheme="minorHAnsi"/>
                <w:noProof/>
                <w:szCs w:val="24"/>
              </w:rPr>
              <w:tab/>
            </w:r>
            <w:r w:rsidRPr="00B37BB0">
              <w:rPr>
                <w:rStyle w:val="Hyperlink"/>
                <w:noProof/>
              </w:rPr>
              <w:t>Emissions Analysis</w:t>
            </w:r>
            <w:r>
              <w:rPr>
                <w:noProof/>
                <w:webHidden/>
              </w:rPr>
              <w:tab/>
            </w:r>
            <w:r>
              <w:rPr>
                <w:noProof/>
                <w:webHidden/>
              </w:rPr>
              <w:fldChar w:fldCharType="begin"/>
            </w:r>
            <w:r>
              <w:rPr>
                <w:noProof/>
                <w:webHidden/>
              </w:rPr>
              <w:instrText xml:space="preserve"> PAGEREF _Toc190242684 \h </w:instrText>
            </w:r>
            <w:r>
              <w:rPr>
                <w:noProof/>
                <w:webHidden/>
              </w:rPr>
            </w:r>
            <w:r>
              <w:rPr>
                <w:noProof/>
                <w:webHidden/>
              </w:rPr>
              <w:fldChar w:fldCharType="separate"/>
            </w:r>
            <w:r>
              <w:rPr>
                <w:noProof/>
                <w:webHidden/>
              </w:rPr>
              <w:t>15</w:t>
            </w:r>
            <w:r>
              <w:rPr>
                <w:noProof/>
                <w:webHidden/>
              </w:rPr>
              <w:fldChar w:fldCharType="end"/>
            </w:r>
          </w:hyperlink>
        </w:p>
        <w:p w14:paraId="05DD464F" w14:textId="5433AA3B" w:rsidR="006C29B6" w:rsidRDefault="006C29B6">
          <w:pPr>
            <w:pStyle w:val="TOC3"/>
            <w:tabs>
              <w:tab w:val="left" w:pos="1320"/>
              <w:tab w:val="right" w:leader="dot" w:pos="9350"/>
            </w:tabs>
            <w:rPr>
              <w:rFonts w:asciiTheme="minorHAnsi" w:eastAsiaTheme="minorEastAsia" w:hAnsiTheme="minorHAnsi"/>
              <w:noProof/>
              <w:szCs w:val="24"/>
            </w:rPr>
          </w:pPr>
          <w:hyperlink w:anchor="_Toc190242685" w:history="1">
            <w:r w:rsidRPr="00B37BB0">
              <w:rPr>
                <w:rStyle w:val="Hyperlink"/>
                <w:noProof/>
              </w:rPr>
              <w:t>2.3.1</w:t>
            </w:r>
            <w:r>
              <w:rPr>
                <w:rFonts w:asciiTheme="minorHAnsi" w:eastAsiaTheme="minorEastAsia" w:hAnsiTheme="minorHAnsi"/>
                <w:noProof/>
                <w:szCs w:val="24"/>
              </w:rPr>
              <w:tab/>
            </w:r>
            <w:r w:rsidRPr="00B37BB0">
              <w:rPr>
                <w:rStyle w:val="Hyperlink"/>
                <w:noProof/>
              </w:rPr>
              <w:t>Regional Inventory</w:t>
            </w:r>
            <w:r>
              <w:rPr>
                <w:noProof/>
                <w:webHidden/>
              </w:rPr>
              <w:tab/>
            </w:r>
            <w:r>
              <w:rPr>
                <w:noProof/>
                <w:webHidden/>
              </w:rPr>
              <w:fldChar w:fldCharType="begin"/>
            </w:r>
            <w:r>
              <w:rPr>
                <w:noProof/>
                <w:webHidden/>
              </w:rPr>
              <w:instrText xml:space="preserve"> PAGEREF _Toc190242685 \h </w:instrText>
            </w:r>
            <w:r>
              <w:rPr>
                <w:noProof/>
                <w:webHidden/>
              </w:rPr>
            </w:r>
            <w:r>
              <w:rPr>
                <w:noProof/>
                <w:webHidden/>
              </w:rPr>
              <w:fldChar w:fldCharType="separate"/>
            </w:r>
            <w:r>
              <w:rPr>
                <w:noProof/>
                <w:webHidden/>
              </w:rPr>
              <w:t>15</w:t>
            </w:r>
            <w:r>
              <w:rPr>
                <w:noProof/>
                <w:webHidden/>
              </w:rPr>
              <w:fldChar w:fldCharType="end"/>
            </w:r>
          </w:hyperlink>
        </w:p>
        <w:p w14:paraId="14DEFE06" w14:textId="647E6906" w:rsidR="006C29B6" w:rsidRDefault="006C29B6">
          <w:pPr>
            <w:pStyle w:val="TOC3"/>
            <w:tabs>
              <w:tab w:val="left" w:pos="1320"/>
              <w:tab w:val="right" w:leader="dot" w:pos="9350"/>
            </w:tabs>
            <w:rPr>
              <w:rFonts w:asciiTheme="minorHAnsi" w:eastAsiaTheme="minorEastAsia" w:hAnsiTheme="minorHAnsi"/>
              <w:noProof/>
              <w:szCs w:val="24"/>
            </w:rPr>
          </w:pPr>
          <w:hyperlink w:anchor="_Toc190242686" w:history="1">
            <w:r w:rsidRPr="00B37BB0">
              <w:rPr>
                <w:rStyle w:val="Hyperlink"/>
                <w:noProof/>
              </w:rPr>
              <w:t>2.3.2</w:t>
            </w:r>
            <w:r>
              <w:rPr>
                <w:rFonts w:asciiTheme="minorHAnsi" w:eastAsiaTheme="minorEastAsia" w:hAnsiTheme="minorHAnsi"/>
                <w:noProof/>
                <w:szCs w:val="24"/>
              </w:rPr>
              <w:tab/>
            </w:r>
            <w:r w:rsidRPr="00B37BB0">
              <w:rPr>
                <w:rStyle w:val="Hyperlink"/>
                <w:noProof/>
              </w:rPr>
              <w:t>Emissions Tests</w:t>
            </w:r>
            <w:r>
              <w:rPr>
                <w:noProof/>
                <w:webHidden/>
              </w:rPr>
              <w:tab/>
            </w:r>
            <w:r>
              <w:rPr>
                <w:noProof/>
                <w:webHidden/>
              </w:rPr>
              <w:fldChar w:fldCharType="begin"/>
            </w:r>
            <w:r>
              <w:rPr>
                <w:noProof/>
                <w:webHidden/>
              </w:rPr>
              <w:instrText xml:space="preserve"> PAGEREF _Toc190242686 \h </w:instrText>
            </w:r>
            <w:r>
              <w:rPr>
                <w:noProof/>
                <w:webHidden/>
              </w:rPr>
            </w:r>
            <w:r>
              <w:rPr>
                <w:noProof/>
                <w:webHidden/>
              </w:rPr>
              <w:fldChar w:fldCharType="separate"/>
            </w:r>
            <w:r>
              <w:rPr>
                <w:noProof/>
                <w:webHidden/>
              </w:rPr>
              <w:t>15</w:t>
            </w:r>
            <w:r>
              <w:rPr>
                <w:noProof/>
                <w:webHidden/>
              </w:rPr>
              <w:fldChar w:fldCharType="end"/>
            </w:r>
          </w:hyperlink>
        </w:p>
        <w:p w14:paraId="49C3DDEF" w14:textId="32844EB5" w:rsidR="006C29B6" w:rsidRDefault="006C29B6">
          <w:pPr>
            <w:pStyle w:val="TOC3"/>
            <w:tabs>
              <w:tab w:val="left" w:pos="1320"/>
              <w:tab w:val="right" w:leader="dot" w:pos="9350"/>
            </w:tabs>
            <w:rPr>
              <w:rFonts w:asciiTheme="minorHAnsi" w:eastAsiaTheme="minorEastAsia" w:hAnsiTheme="minorHAnsi"/>
              <w:noProof/>
              <w:szCs w:val="24"/>
            </w:rPr>
          </w:pPr>
          <w:hyperlink w:anchor="_Toc190242687" w:history="1">
            <w:r w:rsidRPr="00B37BB0">
              <w:rPr>
                <w:rStyle w:val="Hyperlink"/>
                <w:noProof/>
              </w:rPr>
              <w:t>2.3.3</w:t>
            </w:r>
            <w:r>
              <w:rPr>
                <w:rFonts w:asciiTheme="minorHAnsi" w:eastAsiaTheme="minorEastAsia" w:hAnsiTheme="minorHAnsi"/>
                <w:noProof/>
                <w:szCs w:val="24"/>
              </w:rPr>
              <w:tab/>
            </w:r>
            <w:r w:rsidRPr="00B37BB0">
              <w:rPr>
                <w:rStyle w:val="Hyperlink"/>
                <w:noProof/>
              </w:rPr>
              <w:t>Analysis Years</w:t>
            </w:r>
            <w:r>
              <w:rPr>
                <w:noProof/>
                <w:webHidden/>
              </w:rPr>
              <w:tab/>
            </w:r>
            <w:r>
              <w:rPr>
                <w:noProof/>
                <w:webHidden/>
              </w:rPr>
              <w:fldChar w:fldCharType="begin"/>
            </w:r>
            <w:r>
              <w:rPr>
                <w:noProof/>
                <w:webHidden/>
              </w:rPr>
              <w:instrText xml:space="preserve"> PAGEREF _Toc190242687 \h </w:instrText>
            </w:r>
            <w:r>
              <w:rPr>
                <w:noProof/>
                <w:webHidden/>
              </w:rPr>
            </w:r>
            <w:r>
              <w:rPr>
                <w:noProof/>
                <w:webHidden/>
              </w:rPr>
              <w:fldChar w:fldCharType="separate"/>
            </w:r>
            <w:r>
              <w:rPr>
                <w:noProof/>
                <w:webHidden/>
              </w:rPr>
              <w:t>16</w:t>
            </w:r>
            <w:r>
              <w:rPr>
                <w:noProof/>
                <w:webHidden/>
              </w:rPr>
              <w:fldChar w:fldCharType="end"/>
            </w:r>
          </w:hyperlink>
        </w:p>
        <w:p w14:paraId="7A25E4AD" w14:textId="3EF3459D" w:rsidR="006C29B6" w:rsidRDefault="006C29B6">
          <w:pPr>
            <w:pStyle w:val="TOC2"/>
            <w:tabs>
              <w:tab w:val="left" w:pos="880"/>
              <w:tab w:val="right" w:leader="dot" w:pos="9350"/>
            </w:tabs>
            <w:rPr>
              <w:rFonts w:asciiTheme="minorHAnsi" w:eastAsiaTheme="minorEastAsia" w:hAnsiTheme="minorHAnsi"/>
              <w:noProof/>
              <w:szCs w:val="24"/>
            </w:rPr>
          </w:pPr>
          <w:hyperlink w:anchor="_Toc190242688" w:history="1">
            <w:r w:rsidRPr="00B37BB0">
              <w:rPr>
                <w:rStyle w:val="Hyperlink"/>
                <w:noProof/>
              </w:rPr>
              <w:t>2.4</w:t>
            </w:r>
            <w:r>
              <w:rPr>
                <w:rFonts w:asciiTheme="minorHAnsi" w:eastAsiaTheme="minorEastAsia" w:hAnsiTheme="minorHAnsi"/>
                <w:noProof/>
                <w:szCs w:val="24"/>
              </w:rPr>
              <w:tab/>
            </w:r>
            <w:r w:rsidRPr="00B37BB0">
              <w:rPr>
                <w:rStyle w:val="Hyperlink"/>
                <w:noProof/>
              </w:rPr>
              <w:t>Checklist</w:t>
            </w:r>
            <w:r>
              <w:rPr>
                <w:noProof/>
                <w:webHidden/>
              </w:rPr>
              <w:tab/>
            </w:r>
            <w:r>
              <w:rPr>
                <w:noProof/>
                <w:webHidden/>
              </w:rPr>
              <w:fldChar w:fldCharType="begin"/>
            </w:r>
            <w:r>
              <w:rPr>
                <w:noProof/>
                <w:webHidden/>
              </w:rPr>
              <w:instrText xml:space="preserve"> PAGEREF _Toc190242688 \h </w:instrText>
            </w:r>
            <w:r>
              <w:rPr>
                <w:noProof/>
                <w:webHidden/>
              </w:rPr>
            </w:r>
            <w:r>
              <w:rPr>
                <w:noProof/>
                <w:webHidden/>
              </w:rPr>
              <w:fldChar w:fldCharType="separate"/>
            </w:r>
            <w:r>
              <w:rPr>
                <w:noProof/>
                <w:webHidden/>
              </w:rPr>
              <w:t>17</w:t>
            </w:r>
            <w:r>
              <w:rPr>
                <w:noProof/>
                <w:webHidden/>
              </w:rPr>
              <w:fldChar w:fldCharType="end"/>
            </w:r>
          </w:hyperlink>
        </w:p>
        <w:p w14:paraId="1AC2AC4C" w14:textId="5D7F069F" w:rsidR="006C29B6" w:rsidRDefault="006C29B6">
          <w:pPr>
            <w:pStyle w:val="TOC1"/>
            <w:tabs>
              <w:tab w:val="left" w:pos="480"/>
              <w:tab w:val="right" w:leader="dot" w:pos="9350"/>
            </w:tabs>
            <w:rPr>
              <w:rFonts w:asciiTheme="minorHAnsi" w:eastAsiaTheme="minorEastAsia" w:hAnsiTheme="minorHAnsi"/>
              <w:noProof/>
              <w:szCs w:val="24"/>
            </w:rPr>
          </w:pPr>
          <w:hyperlink w:anchor="_Toc190242689" w:history="1">
            <w:r w:rsidRPr="00B37BB0">
              <w:rPr>
                <w:rStyle w:val="Hyperlink"/>
                <w:noProof/>
              </w:rPr>
              <w:t>3.</w:t>
            </w:r>
            <w:r>
              <w:rPr>
                <w:rFonts w:asciiTheme="minorHAnsi" w:eastAsiaTheme="minorEastAsia" w:hAnsiTheme="minorHAnsi"/>
                <w:noProof/>
                <w:szCs w:val="24"/>
              </w:rPr>
              <w:tab/>
            </w:r>
            <w:r w:rsidRPr="00B37BB0">
              <w:rPr>
                <w:rStyle w:val="Hyperlink"/>
                <w:noProof/>
              </w:rPr>
              <w:t>RTP/MTP and TIP</w:t>
            </w:r>
            <w:r>
              <w:rPr>
                <w:noProof/>
                <w:webHidden/>
              </w:rPr>
              <w:tab/>
            </w:r>
            <w:r>
              <w:rPr>
                <w:noProof/>
                <w:webHidden/>
              </w:rPr>
              <w:fldChar w:fldCharType="begin"/>
            </w:r>
            <w:r>
              <w:rPr>
                <w:noProof/>
                <w:webHidden/>
              </w:rPr>
              <w:instrText xml:space="preserve"> PAGEREF _Toc190242689 \h </w:instrText>
            </w:r>
            <w:r>
              <w:rPr>
                <w:noProof/>
                <w:webHidden/>
              </w:rPr>
            </w:r>
            <w:r>
              <w:rPr>
                <w:noProof/>
                <w:webHidden/>
              </w:rPr>
              <w:fldChar w:fldCharType="separate"/>
            </w:r>
            <w:r>
              <w:rPr>
                <w:noProof/>
                <w:webHidden/>
              </w:rPr>
              <w:t>20</w:t>
            </w:r>
            <w:r>
              <w:rPr>
                <w:noProof/>
                <w:webHidden/>
              </w:rPr>
              <w:fldChar w:fldCharType="end"/>
            </w:r>
          </w:hyperlink>
        </w:p>
        <w:p w14:paraId="3958A55E" w14:textId="510DCA34" w:rsidR="006C29B6" w:rsidRDefault="006C29B6">
          <w:pPr>
            <w:pStyle w:val="TOC2"/>
            <w:tabs>
              <w:tab w:val="left" w:pos="880"/>
              <w:tab w:val="right" w:leader="dot" w:pos="9350"/>
            </w:tabs>
            <w:rPr>
              <w:rFonts w:asciiTheme="minorHAnsi" w:eastAsiaTheme="minorEastAsia" w:hAnsiTheme="minorHAnsi"/>
              <w:noProof/>
              <w:szCs w:val="24"/>
            </w:rPr>
          </w:pPr>
          <w:hyperlink w:anchor="_Toc190242690" w:history="1">
            <w:r w:rsidRPr="00B37BB0">
              <w:rPr>
                <w:rStyle w:val="Hyperlink"/>
                <w:noProof/>
              </w:rPr>
              <w:t>3.1</w:t>
            </w:r>
            <w:r>
              <w:rPr>
                <w:rFonts w:asciiTheme="minorHAnsi" w:eastAsiaTheme="minorEastAsia" w:hAnsiTheme="minorHAnsi"/>
                <w:noProof/>
                <w:szCs w:val="24"/>
              </w:rPr>
              <w:tab/>
            </w:r>
            <w:r w:rsidRPr="00B37BB0">
              <w:rPr>
                <w:rStyle w:val="Hyperlink"/>
                <w:noProof/>
              </w:rPr>
              <w:t>[Name of RTP/MTP] and [Name of TIP]</w:t>
            </w:r>
            <w:r>
              <w:rPr>
                <w:noProof/>
                <w:webHidden/>
              </w:rPr>
              <w:tab/>
            </w:r>
            <w:r>
              <w:rPr>
                <w:noProof/>
                <w:webHidden/>
              </w:rPr>
              <w:fldChar w:fldCharType="begin"/>
            </w:r>
            <w:r>
              <w:rPr>
                <w:noProof/>
                <w:webHidden/>
              </w:rPr>
              <w:instrText xml:space="preserve"> PAGEREF _Toc190242690 \h </w:instrText>
            </w:r>
            <w:r>
              <w:rPr>
                <w:noProof/>
                <w:webHidden/>
              </w:rPr>
            </w:r>
            <w:r>
              <w:rPr>
                <w:noProof/>
                <w:webHidden/>
              </w:rPr>
              <w:fldChar w:fldCharType="separate"/>
            </w:r>
            <w:r>
              <w:rPr>
                <w:noProof/>
                <w:webHidden/>
              </w:rPr>
              <w:t>20</w:t>
            </w:r>
            <w:r>
              <w:rPr>
                <w:noProof/>
                <w:webHidden/>
              </w:rPr>
              <w:fldChar w:fldCharType="end"/>
            </w:r>
          </w:hyperlink>
        </w:p>
        <w:p w14:paraId="18CCE51C" w14:textId="24AE841F" w:rsidR="006C29B6" w:rsidRDefault="006C29B6">
          <w:pPr>
            <w:pStyle w:val="TOC3"/>
            <w:tabs>
              <w:tab w:val="left" w:pos="1320"/>
              <w:tab w:val="right" w:leader="dot" w:pos="9350"/>
            </w:tabs>
            <w:rPr>
              <w:rFonts w:asciiTheme="minorHAnsi" w:eastAsiaTheme="minorEastAsia" w:hAnsiTheme="minorHAnsi"/>
              <w:noProof/>
              <w:szCs w:val="24"/>
            </w:rPr>
          </w:pPr>
          <w:hyperlink w:anchor="_Toc190242691" w:history="1">
            <w:r w:rsidRPr="00B37BB0">
              <w:rPr>
                <w:rStyle w:val="Hyperlink"/>
                <w:noProof/>
              </w:rPr>
              <w:t>3.1.1</w:t>
            </w:r>
            <w:r>
              <w:rPr>
                <w:rFonts w:asciiTheme="minorHAnsi" w:eastAsiaTheme="minorEastAsia" w:hAnsiTheme="minorHAnsi"/>
                <w:noProof/>
                <w:szCs w:val="24"/>
              </w:rPr>
              <w:tab/>
            </w:r>
            <w:r w:rsidRPr="00B37BB0">
              <w:rPr>
                <w:rStyle w:val="Hyperlink"/>
                <w:noProof/>
              </w:rPr>
              <w:t>Overview</w:t>
            </w:r>
            <w:r>
              <w:rPr>
                <w:noProof/>
                <w:webHidden/>
              </w:rPr>
              <w:tab/>
            </w:r>
            <w:r>
              <w:rPr>
                <w:noProof/>
                <w:webHidden/>
              </w:rPr>
              <w:fldChar w:fldCharType="begin"/>
            </w:r>
            <w:r>
              <w:rPr>
                <w:noProof/>
                <w:webHidden/>
              </w:rPr>
              <w:instrText xml:space="preserve"> PAGEREF _Toc190242691 \h </w:instrText>
            </w:r>
            <w:r>
              <w:rPr>
                <w:noProof/>
                <w:webHidden/>
              </w:rPr>
            </w:r>
            <w:r>
              <w:rPr>
                <w:noProof/>
                <w:webHidden/>
              </w:rPr>
              <w:fldChar w:fldCharType="separate"/>
            </w:r>
            <w:r>
              <w:rPr>
                <w:noProof/>
                <w:webHidden/>
              </w:rPr>
              <w:t>20</w:t>
            </w:r>
            <w:r>
              <w:rPr>
                <w:noProof/>
                <w:webHidden/>
              </w:rPr>
              <w:fldChar w:fldCharType="end"/>
            </w:r>
          </w:hyperlink>
        </w:p>
        <w:p w14:paraId="077E3479" w14:textId="6DD31E57" w:rsidR="006C29B6" w:rsidRDefault="006C29B6">
          <w:pPr>
            <w:pStyle w:val="TOC3"/>
            <w:tabs>
              <w:tab w:val="left" w:pos="1320"/>
              <w:tab w:val="right" w:leader="dot" w:pos="9350"/>
            </w:tabs>
            <w:rPr>
              <w:rFonts w:asciiTheme="minorHAnsi" w:eastAsiaTheme="minorEastAsia" w:hAnsiTheme="minorHAnsi"/>
              <w:noProof/>
              <w:szCs w:val="24"/>
            </w:rPr>
          </w:pPr>
          <w:hyperlink w:anchor="_Toc190242692" w:history="1">
            <w:r w:rsidRPr="00B37BB0">
              <w:rPr>
                <w:rStyle w:val="Hyperlink"/>
                <w:noProof/>
              </w:rPr>
              <w:t>3.1.2</w:t>
            </w:r>
            <w:r>
              <w:rPr>
                <w:rFonts w:asciiTheme="minorHAnsi" w:eastAsiaTheme="minorEastAsia" w:hAnsiTheme="minorHAnsi"/>
                <w:noProof/>
                <w:szCs w:val="24"/>
              </w:rPr>
              <w:tab/>
            </w:r>
            <w:r w:rsidRPr="00B37BB0">
              <w:rPr>
                <w:rStyle w:val="Hyperlink"/>
                <w:noProof/>
              </w:rPr>
              <w:t>Submittal Frequency</w:t>
            </w:r>
            <w:r>
              <w:rPr>
                <w:noProof/>
                <w:webHidden/>
              </w:rPr>
              <w:tab/>
            </w:r>
            <w:r>
              <w:rPr>
                <w:noProof/>
                <w:webHidden/>
              </w:rPr>
              <w:fldChar w:fldCharType="begin"/>
            </w:r>
            <w:r>
              <w:rPr>
                <w:noProof/>
                <w:webHidden/>
              </w:rPr>
              <w:instrText xml:space="preserve"> PAGEREF _Toc190242692 \h </w:instrText>
            </w:r>
            <w:r>
              <w:rPr>
                <w:noProof/>
                <w:webHidden/>
              </w:rPr>
            </w:r>
            <w:r>
              <w:rPr>
                <w:noProof/>
                <w:webHidden/>
              </w:rPr>
              <w:fldChar w:fldCharType="separate"/>
            </w:r>
            <w:r>
              <w:rPr>
                <w:noProof/>
                <w:webHidden/>
              </w:rPr>
              <w:t>20</w:t>
            </w:r>
            <w:r>
              <w:rPr>
                <w:noProof/>
                <w:webHidden/>
              </w:rPr>
              <w:fldChar w:fldCharType="end"/>
            </w:r>
          </w:hyperlink>
        </w:p>
        <w:p w14:paraId="0FAFBC82" w14:textId="7FFB1CA8" w:rsidR="006C29B6" w:rsidRDefault="006C29B6">
          <w:pPr>
            <w:pStyle w:val="TOC3"/>
            <w:tabs>
              <w:tab w:val="left" w:pos="1320"/>
              <w:tab w:val="right" w:leader="dot" w:pos="9350"/>
            </w:tabs>
            <w:rPr>
              <w:rFonts w:asciiTheme="minorHAnsi" w:eastAsiaTheme="minorEastAsia" w:hAnsiTheme="minorHAnsi"/>
              <w:noProof/>
              <w:szCs w:val="24"/>
            </w:rPr>
          </w:pPr>
          <w:hyperlink w:anchor="_Toc190242693" w:history="1">
            <w:r w:rsidRPr="00B37BB0">
              <w:rPr>
                <w:rStyle w:val="Hyperlink"/>
                <w:noProof/>
              </w:rPr>
              <w:t>3.1.3</w:t>
            </w:r>
            <w:r>
              <w:rPr>
                <w:rFonts w:asciiTheme="minorHAnsi" w:eastAsiaTheme="minorEastAsia" w:hAnsiTheme="minorHAnsi"/>
                <w:noProof/>
                <w:szCs w:val="24"/>
              </w:rPr>
              <w:tab/>
            </w:r>
            <w:r w:rsidRPr="00B37BB0">
              <w:rPr>
                <w:rStyle w:val="Hyperlink"/>
                <w:noProof/>
              </w:rPr>
              <w:t>Fiscal Constraints</w:t>
            </w:r>
            <w:r>
              <w:rPr>
                <w:noProof/>
                <w:webHidden/>
              </w:rPr>
              <w:tab/>
            </w:r>
            <w:r>
              <w:rPr>
                <w:noProof/>
                <w:webHidden/>
              </w:rPr>
              <w:fldChar w:fldCharType="begin"/>
            </w:r>
            <w:r>
              <w:rPr>
                <w:noProof/>
                <w:webHidden/>
              </w:rPr>
              <w:instrText xml:space="preserve"> PAGEREF _Toc190242693 \h </w:instrText>
            </w:r>
            <w:r>
              <w:rPr>
                <w:noProof/>
                <w:webHidden/>
              </w:rPr>
            </w:r>
            <w:r>
              <w:rPr>
                <w:noProof/>
                <w:webHidden/>
              </w:rPr>
              <w:fldChar w:fldCharType="separate"/>
            </w:r>
            <w:r>
              <w:rPr>
                <w:noProof/>
                <w:webHidden/>
              </w:rPr>
              <w:t>21</w:t>
            </w:r>
            <w:r>
              <w:rPr>
                <w:noProof/>
                <w:webHidden/>
              </w:rPr>
              <w:fldChar w:fldCharType="end"/>
            </w:r>
          </w:hyperlink>
        </w:p>
        <w:p w14:paraId="63DF83B1" w14:textId="51177C20" w:rsidR="006C29B6" w:rsidRDefault="006C29B6">
          <w:pPr>
            <w:pStyle w:val="TOC2"/>
            <w:tabs>
              <w:tab w:val="left" w:pos="880"/>
              <w:tab w:val="right" w:leader="dot" w:pos="9350"/>
            </w:tabs>
            <w:rPr>
              <w:rFonts w:asciiTheme="minorHAnsi" w:eastAsiaTheme="minorEastAsia" w:hAnsiTheme="minorHAnsi"/>
              <w:noProof/>
              <w:szCs w:val="24"/>
            </w:rPr>
          </w:pPr>
          <w:hyperlink w:anchor="_Toc190242694" w:history="1">
            <w:r w:rsidRPr="00B37BB0">
              <w:rPr>
                <w:rStyle w:val="Hyperlink"/>
                <w:noProof/>
              </w:rPr>
              <w:t>3.2</w:t>
            </w:r>
            <w:r>
              <w:rPr>
                <w:rFonts w:asciiTheme="minorHAnsi" w:eastAsiaTheme="minorEastAsia" w:hAnsiTheme="minorHAnsi"/>
                <w:noProof/>
                <w:szCs w:val="24"/>
              </w:rPr>
              <w:tab/>
            </w:r>
            <w:r w:rsidRPr="00B37BB0">
              <w:rPr>
                <w:rStyle w:val="Hyperlink"/>
                <w:noProof/>
              </w:rPr>
              <w:t>Regional Significant Control Program</w:t>
            </w:r>
            <w:r>
              <w:rPr>
                <w:noProof/>
                <w:webHidden/>
              </w:rPr>
              <w:tab/>
            </w:r>
            <w:r>
              <w:rPr>
                <w:noProof/>
                <w:webHidden/>
              </w:rPr>
              <w:fldChar w:fldCharType="begin"/>
            </w:r>
            <w:r>
              <w:rPr>
                <w:noProof/>
                <w:webHidden/>
              </w:rPr>
              <w:instrText xml:space="preserve"> PAGEREF _Toc190242694 \h </w:instrText>
            </w:r>
            <w:r>
              <w:rPr>
                <w:noProof/>
                <w:webHidden/>
              </w:rPr>
            </w:r>
            <w:r>
              <w:rPr>
                <w:noProof/>
                <w:webHidden/>
              </w:rPr>
              <w:fldChar w:fldCharType="separate"/>
            </w:r>
            <w:r>
              <w:rPr>
                <w:noProof/>
                <w:webHidden/>
              </w:rPr>
              <w:t>21</w:t>
            </w:r>
            <w:r>
              <w:rPr>
                <w:noProof/>
                <w:webHidden/>
              </w:rPr>
              <w:fldChar w:fldCharType="end"/>
            </w:r>
          </w:hyperlink>
        </w:p>
        <w:p w14:paraId="10CC0D8C" w14:textId="3A5BB9AE" w:rsidR="006C29B6" w:rsidRDefault="006C29B6">
          <w:pPr>
            <w:pStyle w:val="TOC2"/>
            <w:tabs>
              <w:tab w:val="left" w:pos="880"/>
              <w:tab w:val="right" w:leader="dot" w:pos="9350"/>
            </w:tabs>
            <w:rPr>
              <w:rFonts w:asciiTheme="minorHAnsi" w:eastAsiaTheme="minorEastAsia" w:hAnsiTheme="minorHAnsi"/>
              <w:noProof/>
              <w:szCs w:val="24"/>
            </w:rPr>
          </w:pPr>
          <w:hyperlink w:anchor="_Toc190242695" w:history="1">
            <w:r w:rsidRPr="00B37BB0">
              <w:rPr>
                <w:rStyle w:val="Hyperlink"/>
                <w:noProof/>
              </w:rPr>
              <w:t>3.3</w:t>
            </w:r>
            <w:r>
              <w:rPr>
                <w:rFonts w:asciiTheme="minorHAnsi" w:eastAsiaTheme="minorEastAsia" w:hAnsiTheme="minorHAnsi"/>
                <w:noProof/>
                <w:szCs w:val="24"/>
              </w:rPr>
              <w:tab/>
            </w:r>
            <w:r w:rsidRPr="00B37BB0">
              <w:rPr>
                <w:rStyle w:val="Hyperlink"/>
                <w:noProof/>
              </w:rPr>
              <w:t>Regionally Significant Travel Projects/Programs</w:t>
            </w:r>
            <w:r>
              <w:rPr>
                <w:noProof/>
                <w:webHidden/>
              </w:rPr>
              <w:tab/>
            </w:r>
            <w:r>
              <w:rPr>
                <w:noProof/>
                <w:webHidden/>
              </w:rPr>
              <w:fldChar w:fldCharType="begin"/>
            </w:r>
            <w:r>
              <w:rPr>
                <w:noProof/>
                <w:webHidden/>
              </w:rPr>
              <w:instrText xml:space="preserve"> PAGEREF _Toc190242695 \h </w:instrText>
            </w:r>
            <w:r>
              <w:rPr>
                <w:noProof/>
                <w:webHidden/>
              </w:rPr>
            </w:r>
            <w:r>
              <w:rPr>
                <w:noProof/>
                <w:webHidden/>
              </w:rPr>
              <w:fldChar w:fldCharType="separate"/>
            </w:r>
            <w:r>
              <w:rPr>
                <w:noProof/>
                <w:webHidden/>
              </w:rPr>
              <w:t>21</w:t>
            </w:r>
            <w:r>
              <w:rPr>
                <w:noProof/>
                <w:webHidden/>
              </w:rPr>
              <w:fldChar w:fldCharType="end"/>
            </w:r>
          </w:hyperlink>
        </w:p>
        <w:p w14:paraId="7F306B14" w14:textId="129775FB" w:rsidR="006C29B6" w:rsidRDefault="006C29B6">
          <w:pPr>
            <w:pStyle w:val="TOC2"/>
            <w:tabs>
              <w:tab w:val="left" w:pos="880"/>
              <w:tab w:val="right" w:leader="dot" w:pos="9350"/>
            </w:tabs>
            <w:rPr>
              <w:rFonts w:asciiTheme="minorHAnsi" w:eastAsiaTheme="minorEastAsia" w:hAnsiTheme="minorHAnsi"/>
              <w:noProof/>
              <w:szCs w:val="24"/>
            </w:rPr>
          </w:pPr>
          <w:hyperlink w:anchor="_Toc190242696" w:history="1">
            <w:r w:rsidRPr="00B37BB0">
              <w:rPr>
                <w:rStyle w:val="Hyperlink"/>
                <w:noProof/>
              </w:rPr>
              <w:t>3.4</w:t>
            </w:r>
            <w:r>
              <w:rPr>
                <w:rFonts w:asciiTheme="minorHAnsi" w:eastAsiaTheme="minorEastAsia" w:hAnsiTheme="minorHAnsi"/>
                <w:noProof/>
                <w:szCs w:val="24"/>
              </w:rPr>
              <w:tab/>
            </w:r>
            <w:r w:rsidRPr="00B37BB0">
              <w:rPr>
                <w:rStyle w:val="Hyperlink"/>
                <w:noProof/>
              </w:rPr>
              <w:t>Other Projects/Programs</w:t>
            </w:r>
            <w:r>
              <w:rPr>
                <w:noProof/>
                <w:webHidden/>
              </w:rPr>
              <w:tab/>
            </w:r>
            <w:r>
              <w:rPr>
                <w:noProof/>
                <w:webHidden/>
              </w:rPr>
              <w:fldChar w:fldCharType="begin"/>
            </w:r>
            <w:r>
              <w:rPr>
                <w:noProof/>
                <w:webHidden/>
              </w:rPr>
              <w:instrText xml:space="preserve"> PAGEREF _Toc190242696 \h </w:instrText>
            </w:r>
            <w:r>
              <w:rPr>
                <w:noProof/>
                <w:webHidden/>
              </w:rPr>
            </w:r>
            <w:r>
              <w:rPr>
                <w:noProof/>
                <w:webHidden/>
              </w:rPr>
              <w:fldChar w:fldCharType="separate"/>
            </w:r>
            <w:r>
              <w:rPr>
                <w:noProof/>
                <w:webHidden/>
              </w:rPr>
              <w:t>22</w:t>
            </w:r>
            <w:r>
              <w:rPr>
                <w:noProof/>
                <w:webHidden/>
              </w:rPr>
              <w:fldChar w:fldCharType="end"/>
            </w:r>
          </w:hyperlink>
        </w:p>
        <w:p w14:paraId="7F88D972" w14:textId="42C5BD7E" w:rsidR="006C29B6" w:rsidRDefault="006C29B6">
          <w:pPr>
            <w:pStyle w:val="TOC3"/>
            <w:tabs>
              <w:tab w:val="left" w:pos="1320"/>
              <w:tab w:val="right" w:leader="dot" w:pos="9350"/>
            </w:tabs>
            <w:rPr>
              <w:rFonts w:asciiTheme="minorHAnsi" w:eastAsiaTheme="minorEastAsia" w:hAnsiTheme="minorHAnsi"/>
              <w:noProof/>
              <w:szCs w:val="24"/>
            </w:rPr>
          </w:pPr>
          <w:hyperlink w:anchor="_Toc190242697" w:history="1">
            <w:r w:rsidRPr="00B37BB0">
              <w:rPr>
                <w:rStyle w:val="Hyperlink"/>
                <w:noProof/>
              </w:rPr>
              <w:t>3.4.1</w:t>
            </w:r>
            <w:r>
              <w:rPr>
                <w:rFonts w:asciiTheme="minorHAnsi" w:eastAsiaTheme="minorEastAsia" w:hAnsiTheme="minorHAnsi"/>
                <w:noProof/>
                <w:szCs w:val="24"/>
              </w:rPr>
              <w:tab/>
            </w:r>
            <w:r w:rsidRPr="00B37BB0">
              <w:rPr>
                <w:rStyle w:val="Hyperlink"/>
                <w:noProof/>
              </w:rPr>
              <w:t>Non-federal Projects/Programs</w:t>
            </w:r>
            <w:r>
              <w:rPr>
                <w:noProof/>
                <w:webHidden/>
              </w:rPr>
              <w:tab/>
            </w:r>
            <w:r>
              <w:rPr>
                <w:noProof/>
                <w:webHidden/>
              </w:rPr>
              <w:fldChar w:fldCharType="begin"/>
            </w:r>
            <w:r>
              <w:rPr>
                <w:noProof/>
                <w:webHidden/>
              </w:rPr>
              <w:instrText xml:space="preserve"> PAGEREF _Toc190242697 \h </w:instrText>
            </w:r>
            <w:r>
              <w:rPr>
                <w:noProof/>
                <w:webHidden/>
              </w:rPr>
            </w:r>
            <w:r>
              <w:rPr>
                <w:noProof/>
                <w:webHidden/>
              </w:rPr>
              <w:fldChar w:fldCharType="separate"/>
            </w:r>
            <w:r>
              <w:rPr>
                <w:noProof/>
                <w:webHidden/>
              </w:rPr>
              <w:t>22</w:t>
            </w:r>
            <w:r>
              <w:rPr>
                <w:noProof/>
                <w:webHidden/>
              </w:rPr>
              <w:fldChar w:fldCharType="end"/>
            </w:r>
          </w:hyperlink>
        </w:p>
        <w:p w14:paraId="400ADBEE" w14:textId="759D95B5" w:rsidR="006C29B6" w:rsidRDefault="006C29B6">
          <w:pPr>
            <w:pStyle w:val="TOC3"/>
            <w:tabs>
              <w:tab w:val="left" w:pos="1320"/>
              <w:tab w:val="right" w:leader="dot" w:pos="9350"/>
            </w:tabs>
            <w:rPr>
              <w:rFonts w:asciiTheme="minorHAnsi" w:eastAsiaTheme="minorEastAsia" w:hAnsiTheme="minorHAnsi"/>
              <w:noProof/>
              <w:szCs w:val="24"/>
            </w:rPr>
          </w:pPr>
          <w:hyperlink w:anchor="_Toc190242698" w:history="1">
            <w:r w:rsidRPr="00B37BB0">
              <w:rPr>
                <w:rStyle w:val="Hyperlink"/>
                <w:noProof/>
              </w:rPr>
              <w:t>3.4.2</w:t>
            </w:r>
            <w:r>
              <w:rPr>
                <w:rFonts w:asciiTheme="minorHAnsi" w:eastAsiaTheme="minorEastAsia" w:hAnsiTheme="minorHAnsi"/>
                <w:noProof/>
                <w:szCs w:val="24"/>
              </w:rPr>
              <w:tab/>
            </w:r>
            <w:r w:rsidRPr="00B37BB0">
              <w:rPr>
                <w:rStyle w:val="Hyperlink"/>
                <w:noProof/>
              </w:rPr>
              <w:t>Exempt Projects/Programs</w:t>
            </w:r>
            <w:r>
              <w:rPr>
                <w:noProof/>
                <w:webHidden/>
              </w:rPr>
              <w:tab/>
            </w:r>
            <w:r>
              <w:rPr>
                <w:noProof/>
                <w:webHidden/>
              </w:rPr>
              <w:fldChar w:fldCharType="begin"/>
            </w:r>
            <w:r>
              <w:rPr>
                <w:noProof/>
                <w:webHidden/>
              </w:rPr>
              <w:instrText xml:space="preserve"> PAGEREF _Toc190242698 \h </w:instrText>
            </w:r>
            <w:r>
              <w:rPr>
                <w:noProof/>
                <w:webHidden/>
              </w:rPr>
            </w:r>
            <w:r>
              <w:rPr>
                <w:noProof/>
                <w:webHidden/>
              </w:rPr>
              <w:fldChar w:fldCharType="separate"/>
            </w:r>
            <w:r>
              <w:rPr>
                <w:noProof/>
                <w:webHidden/>
              </w:rPr>
              <w:t>22</w:t>
            </w:r>
            <w:r>
              <w:rPr>
                <w:noProof/>
                <w:webHidden/>
              </w:rPr>
              <w:fldChar w:fldCharType="end"/>
            </w:r>
          </w:hyperlink>
        </w:p>
        <w:p w14:paraId="7BA41A7D" w14:textId="44432BFE" w:rsidR="006C29B6" w:rsidRDefault="006C29B6">
          <w:pPr>
            <w:pStyle w:val="TOC1"/>
            <w:tabs>
              <w:tab w:val="left" w:pos="480"/>
              <w:tab w:val="right" w:leader="dot" w:pos="9350"/>
            </w:tabs>
            <w:rPr>
              <w:rFonts w:asciiTheme="minorHAnsi" w:eastAsiaTheme="minorEastAsia" w:hAnsiTheme="minorHAnsi"/>
              <w:noProof/>
              <w:szCs w:val="24"/>
            </w:rPr>
          </w:pPr>
          <w:hyperlink w:anchor="_Toc190242699" w:history="1">
            <w:r w:rsidRPr="00B37BB0">
              <w:rPr>
                <w:rStyle w:val="Hyperlink"/>
                <w:noProof/>
              </w:rPr>
              <w:t>4.</w:t>
            </w:r>
            <w:r>
              <w:rPr>
                <w:rFonts w:asciiTheme="minorHAnsi" w:eastAsiaTheme="minorEastAsia" w:hAnsiTheme="minorHAnsi"/>
                <w:noProof/>
                <w:szCs w:val="24"/>
              </w:rPr>
              <w:tab/>
            </w:r>
            <w:r w:rsidRPr="00B37BB0">
              <w:rPr>
                <w:rStyle w:val="Hyperlink"/>
                <w:noProof/>
              </w:rPr>
              <w:t>Vehicle Activity Estimation</w:t>
            </w:r>
            <w:r>
              <w:rPr>
                <w:noProof/>
                <w:webHidden/>
              </w:rPr>
              <w:tab/>
            </w:r>
            <w:r>
              <w:rPr>
                <w:noProof/>
                <w:webHidden/>
              </w:rPr>
              <w:fldChar w:fldCharType="begin"/>
            </w:r>
            <w:r>
              <w:rPr>
                <w:noProof/>
                <w:webHidden/>
              </w:rPr>
              <w:instrText xml:space="preserve"> PAGEREF _Toc190242699 \h </w:instrText>
            </w:r>
            <w:r>
              <w:rPr>
                <w:noProof/>
                <w:webHidden/>
              </w:rPr>
            </w:r>
            <w:r>
              <w:rPr>
                <w:noProof/>
                <w:webHidden/>
              </w:rPr>
              <w:fldChar w:fldCharType="separate"/>
            </w:r>
            <w:r>
              <w:rPr>
                <w:noProof/>
                <w:webHidden/>
              </w:rPr>
              <w:t>24</w:t>
            </w:r>
            <w:r>
              <w:rPr>
                <w:noProof/>
                <w:webHidden/>
              </w:rPr>
              <w:fldChar w:fldCharType="end"/>
            </w:r>
          </w:hyperlink>
        </w:p>
        <w:p w14:paraId="6199363A" w14:textId="5A538D6A" w:rsidR="006C29B6" w:rsidRDefault="006C29B6">
          <w:pPr>
            <w:pStyle w:val="TOC2"/>
            <w:tabs>
              <w:tab w:val="left" w:pos="880"/>
              <w:tab w:val="right" w:leader="dot" w:pos="9350"/>
            </w:tabs>
            <w:rPr>
              <w:rFonts w:asciiTheme="minorHAnsi" w:eastAsiaTheme="minorEastAsia" w:hAnsiTheme="minorHAnsi"/>
              <w:noProof/>
              <w:szCs w:val="24"/>
            </w:rPr>
          </w:pPr>
          <w:hyperlink w:anchor="_Toc190242700" w:history="1">
            <w:r w:rsidRPr="00B37BB0">
              <w:rPr>
                <w:rStyle w:val="Hyperlink"/>
                <w:noProof/>
              </w:rPr>
              <w:t>4.1</w:t>
            </w:r>
            <w:r>
              <w:rPr>
                <w:rFonts w:asciiTheme="minorHAnsi" w:eastAsiaTheme="minorEastAsia" w:hAnsiTheme="minorHAnsi"/>
                <w:noProof/>
                <w:szCs w:val="24"/>
              </w:rPr>
              <w:tab/>
            </w:r>
            <w:r w:rsidRPr="00B37BB0">
              <w:rPr>
                <w:rStyle w:val="Hyperlink"/>
                <w:noProof/>
              </w:rPr>
              <w:t>Overview of the Travel Model</w:t>
            </w:r>
            <w:r>
              <w:rPr>
                <w:noProof/>
                <w:webHidden/>
              </w:rPr>
              <w:tab/>
            </w:r>
            <w:r>
              <w:rPr>
                <w:noProof/>
                <w:webHidden/>
              </w:rPr>
              <w:fldChar w:fldCharType="begin"/>
            </w:r>
            <w:r>
              <w:rPr>
                <w:noProof/>
                <w:webHidden/>
              </w:rPr>
              <w:instrText xml:space="preserve"> PAGEREF _Toc190242700 \h </w:instrText>
            </w:r>
            <w:r>
              <w:rPr>
                <w:noProof/>
                <w:webHidden/>
              </w:rPr>
            </w:r>
            <w:r>
              <w:rPr>
                <w:noProof/>
                <w:webHidden/>
              </w:rPr>
              <w:fldChar w:fldCharType="separate"/>
            </w:r>
            <w:r>
              <w:rPr>
                <w:noProof/>
                <w:webHidden/>
              </w:rPr>
              <w:t>24</w:t>
            </w:r>
            <w:r>
              <w:rPr>
                <w:noProof/>
                <w:webHidden/>
              </w:rPr>
              <w:fldChar w:fldCharType="end"/>
            </w:r>
          </w:hyperlink>
        </w:p>
        <w:p w14:paraId="4DC242FC" w14:textId="2B2ACE9E" w:rsidR="006C29B6" w:rsidRDefault="006C29B6">
          <w:pPr>
            <w:pStyle w:val="TOC2"/>
            <w:tabs>
              <w:tab w:val="left" w:pos="880"/>
              <w:tab w:val="right" w:leader="dot" w:pos="9350"/>
            </w:tabs>
            <w:rPr>
              <w:rFonts w:asciiTheme="minorHAnsi" w:eastAsiaTheme="minorEastAsia" w:hAnsiTheme="minorHAnsi"/>
              <w:noProof/>
              <w:szCs w:val="24"/>
            </w:rPr>
          </w:pPr>
          <w:hyperlink w:anchor="_Toc190242701" w:history="1">
            <w:r w:rsidRPr="00B37BB0">
              <w:rPr>
                <w:rStyle w:val="Hyperlink"/>
                <w:noProof/>
              </w:rPr>
              <w:t>4.2</w:t>
            </w:r>
            <w:r>
              <w:rPr>
                <w:rFonts w:asciiTheme="minorHAnsi" w:eastAsiaTheme="minorEastAsia" w:hAnsiTheme="minorHAnsi"/>
                <w:noProof/>
                <w:szCs w:val="24"/>
              </w:rPr>
              <w:tab/>
            </w:r>
            <w:r w:rsidRPr="00B37BB0">
              <w:rPr>
                <w:rStyle w:val="Hyperlink"/>
                <w:noProof/>
              </w:rPr>
              <w:t>Transportation Modeling Process</w:t>
            </w:r>
            <w:r>
              <w:rPr>
                <w:noProof/>
                <w:webHidden/>
              </w:rPr>
              <w:tab/>
            </w:r>
            <w:r>
              <w:rPr>
                <w:noProof/>
                <w:webHidden/>
              </w:rPr>
              <w:fldChar w:fldCharType="begin"/>
            </w:r>
            <w:r>
              <w:rPr>
                <w:noProof/>
                <w:webHidden/>
              </w:rPr>
              <w:instrText xml:space="preserve"> PAGEREF _Toc190242701 \h </w:instrText>
            </w:r>
            <w:r>
              <w:rPr>
                <w:noProof/>
                <w:webHidden/>
              </w:rPr>
            </w:r>
            <w:r>
              <w:rPr>
                <w:noProof/>
                <w:webHidden/>
              </w:rPr>
              <w:fldChar w:fldCharType="separate"/>
            </w:r>
            <w:r>
              <w:rPr>
                <w:noProof/>
                <w:webHidden/>
              </w:rPr>
              <w:t>24</w:t>
            </w:r>
            <w:r>
              <w:rPr>
                <w:noProof/>
                <w:webHidden/>
              </w:rPr>
              <w:fldChar w:fldCharType="end"/>
            </w:r>
          </w:hyperlink>
        </w:p>
        <w:p w14:paraId="30909750" w14:textId="08D57705" w:rsidR="006C29B6" w:rsidRDefault="006C29B6">
          <w:pPr>
            <w:pStyle w:val="TOC3"/>
            <w:tabs>
              <w:tab w:val="left" w:pos="1320"/>
              <w:tab w:val="right" w:leader="dot" w:pos="9350"/>
            </w:tabs>
            <w:rPr>
              <w:rFonts w:asciiTheme="minorHAnsi" w:eastAsiaTheme="minorEastAsia" w:hAnsiTheme="minorHAnsi"/>
              <w:noProof/>
              <w:szCs w:val="24"/>
            </w:rPr>
          </w:pPr>
          <w:hyperlink w:anchor="_Toc190242702" w:history="1">
            <w:r w:rsidRPr="00B37BB0">
              <w:rPr>
                <w:rStyle w:val="Hyperlink"/>
                <w:noProof/>
              </w:rPr>
              <w:t>4.2.1</w:t>
            </w:r>
            <w:r>
              <w:rPr>
                <w:rFonts w:asciiTheme="minorHAnsi" w:eastAsiaTheme="minorEastAsia" w:hAnsiTheme="minorHAnsi"/>
                <w:noProof/>
                <w:szCs w:val="24"/>
              </w:rPr>
              <w:tab/>
            </w:r>
            <w:r w:rsidRPr="00B37BB0">
              <w:rPr>
                <w:rStyle w:val="Hyperlink"/>
                <w:noProof/>
              </w:rPr>
              <w:t>Trip Generation Model</w:t>
            </w:r>
            <w:r>
              <w:rPr>
                <w:noProof/>
                <w:webHidden/>
              </w:rPr>
              <w:tab/>
            </w:r>
            <w:r>
              <w:rPr>
                <w:noProof/>
                <w:webHidden/>
              </w:rPr>
              <w:fldChar w:fldCharType="begin"/>
            </w:r>
            <w:r>
              <w:rPr>
                <w:noProof/>
                <w:webHidden/>
              </w:rPr>
              <w:instrText xml:space="preserve"> PAGEREF _Toc190242702 \h </w:instrText>
            </w:r>
            <w:r>
              <w:rPr>
                <w:noProof/>
                <w:webHidden/>
              </w:rPr>
            </w:r>
            <w:r>
              <w:rPr>
                <w:noProof/>
                <w:webHidden/>
              </w:rPr>
              <w:fldChar w:fldCharType="separate"/>
            </w:r>
            <w:r>
              <w:rPr>
                <w:noProof/>
                <w:webHidden/>
              </w:rPr>
              <w:t>24</w:t>
            </w:r>
            <w:r>
              <w:rPr>
                <w:noProof/>
                <w:webHidden/>
              </w:rPr>
              <w:fldChar w:fldCharType="end"/>
            </w:r>
          </w:hyperlink>
        </w:p>
        <w:p w14:paraId="3609A2C4" w14:textId="11C4CCF6" w:rsidR="006C29B6" w:rsidRDefault="006C29B6">
          <w:pPr>
            <w:pStyle w:val="TOC3"/>
            <w:tabs>
              <w:tab w:val="left" w:pos="1320"/>
              <w:tab w:val="right" w:leader="dot" w:pos="9350"/>
            </w:tabs>
            <w:rPr>
              <w:rFonts w:asciiTheme="minorHAnsi" w:eastAsiaTheme="minorEastAsia" w:hAnsiTheme="minorHAnsi"/>
              <w:noProof/>
              <w:szCs w:val="24"/>
            </w:rPr>
          </w:pPr>
          <w:hyperlink w:anchor="_Toc190242703" w:history="1">
            <w:r w:rsidRPr="00B37BB0">
              <w:rPr>
                <w:rStyle w:val="Hyperlink"/>
                <w:noProof/>
              </w:rPr>
              <w:t>4.2.2</w:t>
            </w:r>
            <w:r>
              <w:rPr>
                <w:rFonts w:asciiTheme="minorHAnsi" w:eastAsiaTheme="minorEastAsia" w:hAnsiTheme="minorHAnsi"/>
                <w:noProof/>
                <w:szCs w:val="24"/>
              </w:rPr>
              <w:tab/>
            </w:r>
            <w:r w:rsidRPr="00B37BB0">
              <w:rPr>
                <w:rStyle w:val="Hyperlink"/>
                <w:noProof/>
              </w:rPr>
              <w:t>Trip Distribution Model</w:t>
            </w:r>
            <w:r>
              <w:rPr>
                <w:noProof/>
                <w:webHidden/>
              </w:rPr>
              <w:tab/>
            </w:r>
            <w:r>
              <w:rPr>
                <w:noProof/>
                <w:webHidden/>
              </w:rPr>
              <w:fldChar w:fldCharType="begin"/>
            </w:r>
            <w:r>
              <w:rPr>
                <w:noProof/>
                <w:webHidden/>
              </w:rPr>
              <w:instrText xml:space="preserve"> PAGEREF _Toc190242703 \h </w:instrText>
            </w:r>
            <w:r>
              <w:rPr>
                <w:noProof/>
                <w:webHidden/>
              </w:rPr>
            </w:r>
            <w:r>
              <w:rPr>
                <w:noProof/>
                <w:webHidden/>
              </w:rPr>
              <w:fldChar w:fldCharType="separate"/>
            </w:r>
            <w:r>
              <w:rPr>
                <w:noProof/>
                <w:webHidden/>
              </w:rPr>
              <w:t>24</w:t>
            </w:r>
            <w:r>
              <w:rPr>
                <w:noProof/>
                <w:webHidden/>
              </w:rPr>
              <w:fldChar w:fldCharType="end"/>
            </w:r>
          </w:hyperlink>
        </w:p>
        <w:p w14:paraId="2AB616B7" w14:textId="1DB5C171" w:rsidR="006C29B6" w:rsidRDefault="006C29B6">
          <w:pPr>
            <w:pStyle w:val="TOC3"/>
            <w:tabs>
              <w:tab w:val="left" w:pos="1320"/>
              <w:tab w:val="right" w:leader="dot" w:pos="9350"/>
            </w:tabs>
            <w:rPr>
              <w:rFonts w:asciiTheme="minorHAnsi" w:eastAsiaTheme="minorEastAsia" w:hAnsiTheme="minorHAnsi"/>
              <w:noProof/>
              <w:szCs w:val="24"/>
            </w:rPr>
          </w:pPr>
          <w:hyperlink w:anchor="_Toc190242704" w:history="1">
            <w:r w:rsidRPr="00B37BB0">
              <w:rPr>
                <w:rStyle w:val="Hyperlink"/>
                <w:noProof/>
              </w:rPr>
              <w:t>4.2.3</w:t>
            </w:r>
            <w:r>
              <w:rPr>
                <w:rFonts w:asciiTheme="minorHAnsi" w:eastAsiaTheme="minorEastAsia" w:hAnsiTheme="minorHAnsi"/>
                <w:noProof/>
                <w:szCs w:val="24"/>
              </w:rPr>
              <w:tab/>
            </w:r>
            <w:r w:rsidRPr="00B37BB0">
              <w:rPr>
                <w:rStyle w:val="Hyperlink"/>
                <w:noProof/>
              </w:rPr>
              <w:t>Mode Choice Model</w:t>
            </w:r>
            <w:r>
              <w:rPr>
                <w:noProof/>
                <w:webHidden/>
              </w:rPr>
              <w:tab/>
            </w:r>
            <w:r>
              <w:rPr>
                <w:noProof/>
                <w:webHidden/>
              </w:rPr>
              <w:fldChar w:fldCharType="begin"/>
            </w:r>
            <w:r>
              <w:rPr>
                <w:noProof/>
                <w:webHidden/>
              </w:rPr>
              <w:instrText xml:space="preserve"> PAGEREF _Toc190242704 \h </w:instrText>
            </w:r>
            <w:r>
              <w:rPr>
                <w:noProof/>
                <w:webHidden/>
              </w:rPr>
            </w:r>
            <w:r>
              <w:rPr>
                <w:noProof/>
                <w:webHidden/>
              </w:rPr>
              <w:fldChar w:fldCharType="separate"/>
            </w:r>
            <w:r>
              <w:rPr>
                <w:noProof/>
                <w:webHidden/>
              </w:rPr>
              <w:t>24</w:t>
            </w:r>
            <w:r>
              <w:rPr>
                <w:noProof/>
                <w:webHidden/>
              </w:rPr>
              <w:fldChar w:fldCharType="end"/>
            </w:r>
          </w:hyperlink>
        </w:p>
        <w:p w14:paraId="26923855" w14:textId="5BC59EAB" w:rsidR="006C29B6" w:rsidRDefault="006C29B6">
          <w:pPr>
            <w:pStyle w:val="TOC3"/>
            <w:tabs>
              <w:tab w:val="left" w:pos="1320"/>
              <w:tab w:val="right" w:leader="dot" w:pos="9350"/>
            </w:tabs>
            <w:rPr>
              <w:rFonts w:asciiTheme="minorHAnsi" w:eastAsiaTheme="minorEastAsia" w:hAnsiTheme="minorHAnsi"/>
              <w:noProof/>
              <w:szCs w:val="24"/>
            </w:rPr>
          </w:pPr>
          <w:hyperlink w:anchor="_Toc190242705" w:history="1">
            <w:r w:rsidRPr="00B37BB0">
              <w:rPr>
                <w:rStyle w:val="Hyperlink"/>
                <w:noProof/>
              </w:rPr>
              <w:t>4.2.4</w:t>
            </w:r>
            <w:r>
              <w:rPr>
                <w:rFonts w:asciiTheme="minorHAnsi" w:eastAsiaTheme="minorEastAsia" w:hAnsiTheme="minorHAnsi"/>
                <w:noProof/>
                <w:szCs w:val="24"/>
              </w:rPr>
              <w:tab/>
            </w:r>
            <w:r w:rsidRPr="00B37BB0">
              <w:rPr>
                <w:rStyle w:val="Hyperlink"/>
                <w:noProof/>
              </w:rPr>
              <w:t>Roadway Assignment Model</w:t>
            </w:r>
            <w:r>
              <w:rPr>
                <w:noProof/>
                <w:webHidden/>
              </w:rPr>
              <w:tab/>
            </w:r>
            <w:r>
              <w:rPr>
                <w:noProof/>
                <w:webHidden/>
              </w:rPr>
              <w:fldChar w:fldCharType="begin"/>
            </w:r>
            <w:r>
              <w:rPr>
                <w:noProof/>
                <w:webHidden/>
              </w:rPr>
              <w:instrText xml:space="preserve"> PAGEREF _Toc190242705 \h </w:instrText>
            </w:r>
            <w:r>
              <w:rPr>
                <w:noProof/>
                <w:webHidden/>
              </w:rPr>
            </w:r>
            <w:r>
              <w:rPr>
                <w:noProof/>
                <w:webHidden/>
              </w:rPr>
              <w:fldChar w:fldCharType="separate"/>
            </w:r>
            <w:r>
              <w:rPr>
                <w:noProof/>
                <w:webHidden/>
              </w:rPr>
              <w:t>25</w:t>
            </w:r>
            <w:r>
              <w:rPr>
                <w:noProof/>
                <w:webHidden/>
              </w:rPr>
              <w:fldChar w:fldCharType="end"/>
            </w:r>
          </w:hyperlink>
        </w:p>
        <w:p w14:paraId="5287E427" w14:textId="086E02F9" w:rsidR="006C29B6" w:rsidRDefault="006C29B6">
          <w:pPr>
            <w:pStyle w:val="TOC2"/>
            <w:tabs>
              <w:tab w:val="left" w:pos="880"/>
              <w:tab w:val="right" w:leader="dot" w:pos="9350"/>
            </w:tabs>
            <w:rPr>
              <w:rFonts w:asciiTheme="minorHAnsi" w:eastAsiaTheme="minorEastAsia" w:hAnsiTheme="minorHAnsi"/>
              <w:noProof/>
              <w:szCs w:val="24"/>
            </w:rPr>
          </w:pPr>
          <w:hyperlink w:anchor="_Toc190242706" w:history="1">
            <w:r w:rsidRPr="00B37BB0">
              <w:rPr>
                <w:rStyle w:val="Hyperlink"/>
                <w:noProof/>
              </w:rPr>
              <w:t>4.3</w:t>
            </w:r>
            <w:r>
              <w:rPr>
                <w:rFonts w:asciiTheme="minorHAnsi" w:eastAsiaTheme="minorEastAsia" w:hAnsiTheme="minorHAnsi"/>
                <w:noProof/>
                <w:szCs w:val="24"/>
              </w:rPr>
              <w:tab/>
            </w:r>
            <w:r w:rsidRPr="00B37BB0">
              <w:rPr>
                <w:rStyle w:val="Hyperlink"/>
                <w:noProof/>
              </w:rPr>
              <w:t>Speed Estimation Procedure</w:t>
            </w:r>
            <w:r>
              <w:rPr>
                <w:noProof/>
                <w:webHidden/>
              </w:rPr>
              <w:tab/>
            </w:r>
            <w:r>
              <w:rPr>
                <w:noProof/>
                <w:webHidden/>
              </w:rPr>
              <w:fldChar w:fldCharType="begin"/>
            </w:r>
            <w:r>
              <w:rPr>
                <w:noProof/>
                <w:webHidden/>
              </w:rPr>
              <w:instrText xml:space="preserve"> PAGEREF _Toc190242706 \h </w:instrText>
            </w:r>
            <w:r>
              <w:rPr>
                <w:noProof/>
                <w:webHidden/>
              </w:rPr>
            </w:r>
            <w:r>
              <w:rPr>
                <w:noProof/>
                <w:webHidden/>
              </w:rPr>
              <w:fldChar w:fldCharType="separate"/>
            </w:r>
            <w:r>
              <w:rPr>
                <w:noProof/>
                <w:webHidden/>
              </w:rPr>
              <w:t>25</w:t>
            </w:r>
            <w:r>
              <w:rPr>
                <w:noProof/>
                <w:webHidden/>
              </w:rPr>
              <w:fldChar w:fldCharType="end"/>
            </w:r>
          </w:hyperlink>
        </w:p>
        <w:p w14:paraId="42488CC0" w14:textId="714D733C" w:rsidR="006C29B6" w:rsidRDefault="006C29B6">
          <w:pPr>
            <w:pStyle w:val="TOC2"/>
            <w:tabs>
              <w:tab w:val="left" w:pos="880"/>
              <w:tab w:val="right" w:leader="dot" w:pos="9350"/>
            </w:tabs>
            <w:rPr>
              <w:rFonts w:asciiTheme="minorHAnsi" w:eastAsiaTheme="minorEastAsia" w:hAnsiTheme="minorHAnsi"/>
              <w:noProof/>
              <w:szCs w:val="24"/>
            </w:rPr>
          </w:pPr>
          <w:hyperlink w:anchor="_Toc190242707" w:history="1">
            <w:r w:rsidRPr="00B37BB0">
              <w:rPr>
                <w:rStyle w:val="Hyperlink"/>
                <w:noProof/>
              </w:rPr>
              <w:t>4.4</w:t>
            </w:r>
            <w:r>
              <w:rPr>
                <w:rFonts w:asciiTheme="minorHAnsi" w:eastAsiaTheme="minorEastAsia" w:hAnsiTheme="minorHAnsi"/>
                <w:noProof/>
                <w:szCs w:val="24"/>
              </w:rPr>
              <w:tab/>
            </w:r>
            <w:r w:rsidRPr="00B37BB0">
              <w:rPr>
                <w:rStyle w:val="Hyperlink"/>
                <w:noProof/>
              </w:rPr>
              <w:t>Local Street VMT</w:t>
            </w:r>
            <w:r>
              <w:rPr>
                <w:noProof/>
                <w:webHidden/>
              </w:rPr>
              <w:tab/>
            </w:r>
            <w:r>
              <w:rPr>
                <w:noProof/>
                <w:webHidden/>
              </w:rPr>
              <w:fldChar w:fldCharType="begin"/>
            </w:r>
            <w:r>
              <w:rPr>
                <w:noProof/>
                <w:webHidden/>
              </w:rPr>
              <w:instrText xml:space="preserve"> PAGEREF _Toc190242707 \h </w:instrText>
            </w:r>
            <w:r>
              <w:rPr>
                <w:noProof/>
                <w:webHidden/>
              </w:rPr>
            </w:r>
            <w:r>
              <w:rPr>
                <w:noProof/>
                <w:webHidden/>
              </w:rPr>
              <w:fldChar w:fldCharType="separate"/>
            </w:r>
            <w:r>
              <w:rPr>
                <w:noProof/>
                <w:webHidden/>
              </w:rPr>
              <w:t>25</w:t>
            </w:r>
            <w:r>
              <w:rPr>
                <w:noProof/>
                <w:webHidden/>
              </w:rPr>
              <w:fldChar w:fldCharType="end"/>
            </w:r>
          </w:hyperlink>
        </w:p>
        <w:p w14:paraId="744C80C2" w14:textId="0B20B99B" w:rsidR="006C29B6" w:rsidRDefault="006C29B6">
          <w:pPr>
            <w:pStyle w:val="TOC2"/>
            <w:tabs>
              <w:tab w:val="left" w:pos="880"/>
              <w:tab w:val="right" w:leader="dot" w:pos="9350"/>
            </w:tabs>
            <w:rPr>
              <w:rFonts w:asciiTheme="minorHAnsi" w:eastAsiaTheme="minorEastAsia" w:hAnsiTheme="minorHAnsi"/>
              <w:noProof/>
              <w:szCs w:val="24"/>
            </w:rPr>
          </w:pPr>
          <w:hyperlink w:anchor="_Toc190242708" w:history="1">
            <w:r w:rsidRPr="00B37BB0">
              <w:rPr>
                <w:rStyle w:val="Hyperlink"/>
                <w:noProof/>
              </w:rPr>
              <w:t>4.5</w:t>
            </w:r>
            <w:r>
              <w:rPr>
                <w:rFonts w:asciiTheme="minorHAnsi" w:eastAsiaTheme="minorEastAsia" w:hAnsiTheme="minorHAnsi"/>
                <w:noProof/>
                <w:szCs w:val="24"/>
              </w:rPr>
              <w:tab/>
            </w:r>
            <w:r w:rsidRPr="00B37BB0">
              <w:rPr>
                <w:rStyle w:val="Hyperlink"/>
                <w:noProof/>
              </w:rPr>
              <w:t>Model VMT Adjustments</w:t>
            </w:r>
            <w:r>
              <w:rPr>
                <w:noProof/>
                <w:webHidden/>
              </w:rPr>
              <w:tab/>
            </w:r>
            <w:r>
              <w:rPr>
                <w:noProof/>
                <w:webHidden/>
              </w:rPr>
              <w:fldChar w:fldCharType="begin"/>
            </w:r>
            <w:r>
              <w:rPr>
                <w:noProof/>
                <w:webHidden/>
              </w:rPr>
              <w:instrText xml:space="preserve"> PAGEREF _Toc190242708 \h </w:instrText>
            </w:r>
            <w:r>
              <w:rPr>
                <w:noProof/>
                <w:webHidden/>
              </w:rPr>
            </w:r>
            <w:r>
              <w:rPr>
                <w:noProof/>
                <w:webHidden/>
              </w:rPr>
              <w:fldChar w:fldCharType="separate"/>
            </w:r>
            <w:r>
              <w:rPr>
                <w:noProof/>
                <w:webHidden/>
              </w:rPr>
              <w:t>25</w:t>
            </w:r>
            <w:r>
              <w:rPr>
                <w:noProof/>
                <w:webHidden/>
              </w:rPr>
              <w:fldChar w:fldCharType="end"/>
            </w:r>
          </w:hyperlink>
        </w:p>
        <w:p w14:paraId="35F4789B" w14:textId="137A649A" w:rsidR="006C29B6" w:rsidRDefault="006C29B6">
          <w:pPr>
            <w:pStyle w:val="TOC3"/>
            <w:tabs>
              <w:tab w:val="left" w:pos="1320"/>
              <w:tab w:val="right" w:leader="dot" w:pos="9350"/>
            </w:tabs>
            <w:rPr>
              <w:rFonts w:asciiTheme="minorHAnsi" w:eastAsiaTheme="minorEastAsia" w:hAnsiTheme="minorHAnsi"/>
              <w:noProof/>
              <w:szCs w:val="24"/>
            </w:rPr>
          </w:pPr>
          <w:hyperlink w:anchor="_Toc190242709" w:history="1">
            <w:r w:rsidRPr="00B37BB0">
              <w:rPr>
                <w:rStyle w:val="Hyperlink"/>
                <w:noProof/>
              </w:rPr>
              <w:t>4.5.1</w:t>
            </w:r>
            <w:r>
              <w:rPr>
                <w:rFonts w:asciiTheme="minorHAnsi" w:eastAsiaTheme="minorEastAsia" w:hAnsiTheme="minorHAnsi"/>
                <w:noProof/>
                <w:szCs w:val="24"/>
              </w:rPr>
              <w:tab/>
            </w:r>
            <w:r w:rsidRPr="00B37BB0">
              <w:rPr>
                <w:rStyle w:val="Hyperlink"/>
                <w:noProof/>
              </w:rPr>
              <w:t>HPMS Adjustments</w:t>
            </w:r>
            <w:r>
              <w:rPr>
                <w:noProof/>
                <w:webHidden/>
              </w:rPr>
              <w:tab/>
            </w:r>
            <w:r>
              <w:rPr>
                <w:noProof/>
                <w:webHidden/>
              </w:rPr>
              <w:fldChar w:fldCharType="begin"/>
            </w:r>
            <w:r>
              <w:rPr>
                <w:noProof/>
                <w:webHidden/>
              </w:rPr>
              <w:instrText xml:space="preserve"> PAGEREF _Toc190242709 \h </w:instrText>
            </w:r>
            <w:r>
              <w:rPr>
                <w:noProof/>
                <w:webHidden/>
              </w:rPr>
            </w:r>
            <w:r>
              <w:rPr>
                <w:noProof/>
                <w:webHidden/>
              </w:rPr>
              <w:fldChar w:fldCharType="separate"/>
            </w:r>
            <w:r>
              <w:rPr>
                <w:noProof/>
                <w:webHidden/>
              </w:rPr>
              <w:t>25</w:t>
            </w:r>
            <w:r>
              <w:rPr>
                <w:noProof/>
                <w:webHidden/>
              </w:rPr>
              <w:fldChar w:fldCharType="end"/>
            </w:r>
          </w:hyperlink>
        </w:p>
        <w:p w14:paraId="7EC39BF6" w14:textId="0D72AB6D" w:rsidR="006C29B6" w:rsidRDefault="006C29B6">
          <w:pPr>
            <w:pStyle w:val="TOC3"/>
            <w:tabs>
              <w:tab w:val="left" w:pos="1320"/>
              <w:tab w:val="right" w:leader="dot" w:pos="9350"/>
            </w:tabs>
            <w:rPr>
              <w:rFonts w:asciiTheme="minorHAnsi" w:eastAsiaTheme="minorEastAsia" w:hAnsiTheme="minorHAnsi"/>
              <w:noProof/>
              <w:szCs w:val="24"/>
            </w:rPr>
          </w:pPr>
          <w:hyperlink w:anchor="_Toc190242710" w:history="1">
            <w:r w:rsidRPr="00B37BB0">
              <w:rPr>
                <w:rStyle w:val="Hyperlink"/>
                <w:noProof/>
              </w:rPr>
              <w:t>4.5.2</w:t>
            </w:r>
            <w:r>
              <w:rPr>
                <w:rFonts w:asciiTheme="minorHAnsi" w:eastAsiaTheme="minorEastAsia" w:hAnsiTheme="minorHAnsi"/>
                <w:noProof/>
                <w:szCs w:val="24"/>
              </w:rPr>
              <w:tab/>
            </w:r>
            <w:r w:rsidRPr="00B37BB0">
              <w:rPr>
                <w:rStyle w:val="Hyperlink"/>
                <w:noProof/>
              </w:rPr>
              <w:t>Seasonal and Daily Adjustments</w:t>
            </w:r>
            <w:r>
              <w:rPr>
                <w:noProof/>
                <w:webHidden/>
              </w:rPr>
              <w:tab/>
            </w:r>
            <w:r>
              <w:rPr>
                <w:noProof/>
                <w:webHidden/>
              </w:rPr>
              <w:fldChar w:fldCharType="begin"/>
            </w:r>
            <w:r>
              <w:rPr>
                <w:noProof/>
                <w:webHidden/>
              </w:rPr>
              <w:instrText xml:space="preserve"> PAGEREF _Toc190242710 \h </w:instrText>
            </w:r>
            <w:r>
              <w:rPr>
                <w:noProof/>
                <w:webHidden/>
              </w:rPr>
            </w:r>
            <w:r>
              <w:rPr>
                <w:noProof/>
                <w:webHidden/>
              </w:rPr>
              <w:fldChar w:fldCharType="separate"/>
            </w:r>
            <w:r>
              <w:rPr>
                <w:noProof/>
                <w:webHidden/>
              </w:rPr>
              <w:t>26</w:t>
            </w:r>
            <w:r>
              <w:rPr>
                <w:noProof/>
                <w:webHidden/>
              </w:rPr>
              <w:fldChar w:fldCharType="end"/>
            </w:r>
          </w:hyperlink>
        </w:p>
        <w:p w14:paraId="31431B6A" w14:textId="1AB73381" w:rsidR="006C29B6" w:rsidRDefault="006C29B6">
          <w:pPr>
            <w:pStyle w:val="TOC3"/>
            <w:tabs>
              <w:tab w:val="left" w:pos="1320"/>
              <w:tab w:val="right" w:leader="dot" w:pos="9350"/>
            </w:tabs>
            <w:rPr>
              <w:rFonts w:asciiTheme="minorHAnsi" w:eastAsiaTheme="minorEastAsia" w:hAnsiTheme="minorHAnsi"/>
              <w:noProof/>
              <w:szCs w:val="24"/>
            </w:rPr>
          </w:pPr>
          <w:hyperlink w:anchor="_Toc190242711" w:history="1">
            <w:r w:rsidRPr="00B37BB0">
              <w:rPr>
                <w:rStyle w:val="Hyperlink"/>
                <w:noProof/>
              </w:rPr>
              <w:t>4.5.3</w:t>
            </w:r>
            <w:r>
              <w:rPr>
                <w:rFonts w:asciiTheme="minorHAnsi" w:eastAsiaTheme="minorEastAsia" w:hAnsiTheme="minorHAnsi"/>
                <w:noProof/>
                <w:szCs w:val="24"/>
              </w:rPr>
              <w:tab/>
            </w:r>
            <w:r w:rsidRPr="00B37BB0">
              <w:rPr>
                <w:rStyle w:val="Hyperlink"/>
                <w:noProof/>
              </w:rPr>
              <w:t>Hourly Adjustments</w:t>
            </w:r>
            <w:r>
              <w:rPr>
                <w:noProof/>
                <w:webHidden/>
              </w:rPr>
              <w:tab/>
            </w:r>
            <w:r>
              <w:rPr>
                <w:noProof/>
                <w:webHidden/>
              </w:rPr>
              <w:fldChar w:fldCharType="begin"/>
            </w:r>
            <w:r>
              <w:rPr>
                <w:noProof/>
                <w:webHidden/>
              </w:rPr>
              <w:instrText xml:space="preserve"> PAGEREF _Toc190242711 \h </w:instrText>
            </w:r>
            <w:r>
              <w:rPr>
                <w:noProof/>
                <w:webHidden/>
              </w:rPr>
            </w:r>
            <w:r>
              <w:rPr>
                <w:noProof/>
                <w:webHidden/>
              </w:rPr>
              <w:fldChar w:fldCharType="separate"/>
            </w:r>
            <w:r>
              <w:rPr>
                <w:noProof/>
                <w:webHidden/>
              </w:rPr>
              <w:t>26</w:t>
            </w:r>
            <w:r>
              <w:rPr>
                <w:noProof/>
                <w:webHidden/>
              </w:rPr>
              <w:fldChar w:fldCharType="end"/>
            </w:r>
          </w:hyperlink>
        </w:p>
        <w:p w14:paraId="767F6C79" w14:textId="62593613" w:rsidR="006C29B6" w:rsidRDefault="006C29B6">
          <w:pPr>
            <w:pStyle w:val="TOC3"/>
            <w:tabs>
              <w:tab w:val="left" w:pos="1320"/>
              <w:tab w:val="right" w:leader="dot" w:pos="9350"/>
            </w:tabs>
            <w:rPr>
              <w:rFonts w:asciiTheme="minorHAnsi" w:eastAsiaTheme="minorEastAsia" w:hAnsiTheme="minorHAnsi"/>
              <w:noProof/>
              <w:szCs w:val="24"/>
            </w:rPr>
          </w:pPr>
          <w:hyperlink w:anchor="_Toc190242712" w:history="1">
            <w:r w:rsidRPr="00B37BB0">
              <w:rPr>
                <w:rStyle w:val="Hyperlink"/>
                <w:noProof/>
              </w:rPr>
              <w:t>4.5.4</w:t>
            </w:r>
            <w:r>
              <w:rPr>
                <w:rFonts w:asciiTheme="minorHAnsi" w:eastAsiaTheme="minorEastAsia" w:hAnsiTheme="minorHAnsi"/>
                <w:noProof/>
                <w:szCs w:val="24"/>
              </w:rPr>
              <w:tab/>
            </w:r>
            <w:r w:rsidRPr="00B37BB0">
              <w:rPr>
                <w:rStyle w:val="Hyperlink"/>
                <w:noProof/>
              </w:rPr>
              <w:t>Nonrecurring Congestion</w:t>
            </w:r>
            <w:r>
              <w:rPr>
                <w:noProof/>
                <w:webHidden/>
              </w:rPr>
              <w:tab/>
            </w:r>
            <w:r>
              <w:rPr>
                <w:noProof/>
                <w:webHidden/>
              </w:rPr>
              <w:fldChar w:fldCharType="begin"/>
            </w:r>
            <w:r>
              <w:rPr>
                <w:noProof/>
                <w:webHidden/>
              </w:rPr>
              <w:instrText xml:space="preserve"> PAGEREF _Toc190242712 \h </w:instrText>
            </w:r>
            <w:r>
              <w:rPr>
                <w:noProof/>
                <w:webHidden/>
              </w:rPr>
            </w:r>
            <w:r>
              <w:rPr>
                <w:noProof/>
                <w:webHidden/>
              </w:rPr>
              <w:fldChar w:fldCharType="separate"/>
            </w:r>
            <w:r>
              <w:rPr>
                <w:noProof/>
                <w:webHidden/>
              </w:rPr>
              <w:t>27</w:t>
            </w:r>
            <w:r>
              <w:rPr>
                <w:noProof/>
                <w:webHidden/>
              </w:rPr>
              <w:fldChar w:fldCharType="end"/>
            </w:r>
          </w:hyperlink>
        </w:p>
        <w:p w14:paraId="11715C4A" w14:textId="6EEC3CA0" w:rsidR="006C29B6" w:rsidRDefault="006C29B6">
          <w:pPr>
            <w:pStyle w:val="TOC2"/>
            <w:tabs>
              <w:tab w:val="left" w:pos="880"/>
              <w:tab w:val="right" w:leader="dot" w:pos="9350"/>
            </w:tabs>
            <w:rPr>
              <w:rFonts w:asciiTheme="minorHAnsi" w:eastAsiaTheme="minorEastAsia" w:hAnsiTheme="minorHAnsi"/>
              <w:noProof/>
              <w:szCs w:val="24"/>
            </w:rPr>
          </w:pPr>
          <w:hyperlink w:anchor="_Toc190242713" w:history="1">
            <w:r w:rsidRPr="00B37BB0">
              <w:rPr>
                <w:rStyle w:val="Hyperlink"/>
                <w:noProof/>
              </w:rPr>
              <w:t>4.6</w:t>
            </w:r>
            <w:r>
              <w:rPr>
                <w:rFonts w:asciiTheme="minorHAnsi" w:eastAsiaTheme="minorEastAsia" w:hAnsiTheme="minorHAnsi"/>
                <w:noProof/>
                <w:szCs w:val="24"/>
              </w:rPr>
              <w:tab/>
            </w:r>
            <w:r w:rsidRPr="00B37BB0">
              <w:rPr>
                <w:rStyle w:val="Hyperlink"/>
                <w:noProof/>
              </w:rPr>
              <w:t>Estimation of On-Network Activity</w:t>
            </w:r>
            <w:r>
              <w:rPr>
                <w:noProof/>
                <w:webHidden/>
              </w:rPr>
              <w:tab/>
            </w:r>
            <w:r>
              <w:rPr>
                <w:noProof/>
                <w:webHidden/>
              </w:rPr>
              <w:fldChar w:fldCharType="begin"/>
            </w:r>
            <w:r>
              <w:rPr>
                <w:noProof/>
                <w:webHidden/>
              </w:rPr>
              <w:instrText xml:space="preserve"> PAGEREF _Toc190242713 \h </w:instrText>
            </w:r>
            <w:r>
              <w:rPr>
                <w:noProof/>
                <w:webHidden/>
              </w:rPr>
            </w:r>
            <w:r>
              <w:rPr>
                <w:noProof/>
                <w:webHidden/>
              </w:rPr>
              <w:fldChar w:fldCharType="separate"/>
            </w:r>
            <w:r>
              <w:rPr>
                <w:noProof/>
                <w:webHidden/>
              </w:rPr>
              <w:t>28</w:t>
            </w:r>
            <w:r>
              <w:rPr>
                <w:noProof/>
                <w:webHidden/>
              </w:rPr>
              <w:fldChar w:fldCharType="end"/>
            </w:r>
          </w:hyperlink>
        </w:p>
        <w:p w14:paraId="44EE3FF3" w14:textId="734EEAA9" w:rsidR="006C29B6" w:rsidRDefault="006C29B6">
          <w:pPr>
            <w:pStyle w:val="TOC3"/>
            <w:tabs>
              <w:tab w:val="left" w:pos="1320"/>
              <w:tab w:val="right" w:leader="dot" w:pos="9350"/>
            </w:tabs>
            <w:rPr>
              <w:rFonts w:asciiTheme="minorHAnsi" w:eastAsiaTheme="minorEastAsia" w:hAnsiTheme="minorHAnsi"/>
              <w:noProof/>
              <w:szCs w:val="24"/>
            </w:rPr>
          </w:pPr>
          <w:hyperlink w:anchor="_Toc190242714" w:history="1">
            <w:r w:rsidRPr="00B37BB0">
              <w:rPr>
                <w:rStyle w:val="Hyperlink"/>
                <w:noProof/>
              </w:rPr>
              <w:t>4.6.1</w:t>
            </w:r>
            <w:r>
              <w:rPr>
                <w:rFonts w:asciiTheme="minorHAnsi" w:eastAsiaTheme="minorEastAsia" w:hAnsiTheme="minorHAnsi"/>
                <w:noProof/>
                <w:szCs w:val="24"/>
              </w:rPr>
              <w:tab/>
            </w:r>
            <w:r w:rsidRPr="00B37BB0">
              <w:rPr>
                <w:rStyle w:val="Hyperlink"/>
                <w:noProof/>
              </w:rPr>
              <w:t>Transit Systems</w:t>
            </w:r>
            <w:r>
              <w:rPr>
                <w:noProof/>
                <w:webHidden/>
              </w:rPr>
              <w:tab/>
            </w:r>
            <w:r>
              <w:rPr>
                <w:noProof/>
                <w:webHidden/>
              </w:rPr>
              <w:fldChar w:fldCharType="begin"/>
            </w:r>
            <w:r>
              <w:rPr>
                <w:noProof/>
                <w:webHidden/>
              </w:rPr>
              <w:instrText xml:space="preserve"> PAGEREF _Toc190242714 \h </w:instrText>
            </w:r>
            <w:r>
              <w:rPr>
                <w:noProof/>
                <w:webHidden/>
              </w:rPr>
            </w:r>
            <w:r>
              <w:rPr>
                <w:noProof/>
                <w:webHidden/>
              </w:rPr>
              <w:fldChar w:fldCharType="separate"/>
            </w:r>
            <w:r>
              <w:rPr>
                <w:noProof/>
                <w:webHidden/>
              </w:rPr>
              <w:t>28</w:t>
            </w:r>
            <w:r>
              <w:rPr>
                <w:noProof/>
                <w:webHidden/>
              </w:rPr>
              <w:fldChar w:fldCharType="end"/>
            </w:r>
          </w:hyperlink>
        </w:p>
        <w:p w14:paraId="0318288B" w14:textId="004CC25C" w:rsidR="006C29B6" w:rsidRDefault="006C29B6">
          <w:pPr>
            <w:pStyle w:val="TOC3"/>
            <w:tabs>
              <w:tab w:val="left" w:pos="1320"/>
              <w:tab w:val="right" w:leader="dot" w:pos="9350"/>
            </w:tabs>
            <w:rPr>
              <w:rFonts w:asciiTheme="minorHAnsi" w:eastAsiaTheme="minorEastAsia" w:hAnsiTheme="minorHAnsi"/>
              <w:noProof/>
              <w:szCs w:val="24"/>
            </w:rPr>
          </w:pPr>
          <w:hyperlink w:anchor="_Toc190242715" w:history="1">
            <w:r w:rsidRPr="00B37BB0">
              <w:rPr>
                <w:rStyle w:val="Hyperlink"/>
                <w:noProof/>
              </w:rPr>
              <w:t>4.6.2</w:t>
            </w:r>
            <w:r>
              <w:rPr>
                <w:rFonts w:asciiTheme="minorHAnsi" w:eastAsiaTheme="minorEastAsia" w:hAnsiTheme="minorHAnsi"/>
                <w:noProof/>
                <w:szCs w:val="24"/>
              </w:rPr>
              <w:tab/>
            </w:r>
            <w:r w:rsidRPr="00B37BB0">
              <w:rPr>
                <w:rStyle w:val="Hyperlink"/>
                <w:noProof/>
              </w:rPr>
              <w:t>Roadway VMT</w:t>
            </w:r>
            <w:r>
              <w:rPr>
                <w:noProof/>
                <w:webHidden/>
              </w:rPr>
              <w:tab/>
            </w:r>
            <w:r>
              <w:rPr>
                <w:noProof/>
                <w:webHidden/>
              </w:rPr>
              <w:fldChar w:fldCharType="begin"/>
            </w:r>
            <w:r>
              <w:rPr>
                <w:noProof/>
                <w:webHidden/>
              </w:rPr>
              <w:instrText xml:space="preserve"> PAGEREF _Toc190242715 \h </w:instrText>
            </w:r>
            <w:r>
              <w:rPr>
                <w:noProof/>
                <w:webHidden/>
              </w:rPr>
            </w:r>
            <w:r>
              <w:rPr>
                <w:noProof/>
                <w:webHidden/>
              </w:rPr>
              <w:fldChar w:fldCharType="separate"/>
            </w:r>
            <w:r>
              <w:rPr>
                <w:noProof/>
                <w:webHidden/>
              </w:rPr>
              <w:t>28</w:t>
            </w:r>
            <w:r>
              <w:rPr>
                <w:noProof/>
                <w:webHidden/>
              </w:rPr>
              <w:fldChar w:fldCharType="end"/>
            </w:r>
          </w:hyperlink>
        </w:p>
        <w:p w14:paraId="50D8191D" w14:textId="2E4320E3" w:rsidR="006C29B6" w:rsidRDefault="006C29B6">
          <w:pPr>
            <w:pStyle w:val="TOC3"/>
            <w:tabs>
              <w:tab w:val="left" w:pos="1320"/>
              <w:tab w:val="right" w:leader="dot" w:pos="9350"/>
            </w:tabs>
            <w:rPr>
              <w:rFonts w:asciiTheme="minorHAnsi" w:eastAsiaTheme="minorEastAsia" w:hAnsiTheme="minorHAnsi"/>
              <w:noProof/>
              <w:szCs w:val="24"/>
            </w:rPr>
          </w:pPr>
          <w:hyperlink w:anchor="_Toc190242716" w:history="1">
            <w:r w:rsidRPr="00B37BB0">
              <w:rPr>
                <w:rStyle w:val="Hyperlink"/>
                <w:noProof/>
              </w:rPr>
              <w:t>4.6.3</w:t>
            </w:r>
            <w:r>
              <w:rPr>
                <w:rFonts w:asciiTheme="minorHAnsi" w:eastAsiaTheme="minorEastAsia" w:hAnsiTheme="minorHAnsi"/>
                <w:noProof/>
                <w:szCs w:val="24"/>
              </w:rPr>
              <w:tab/>
            </w:r>
            <w:r w:rsidRPr="00B37BB0">
              <w:rPr>
                <w:rStyle w:val="Hyperlink"/>
                <w:noProof/>
              </w:rPr>
              <w:t>Average Loaded Speeds</w:t>
            </w:r>
            <w:r>
              <w:rPr>
                <w:noProof/>
                <w:webHidden/>
              </w:rPr>
              <w:tab/>
            </w:r>
            <w:r>
              <w:rPr>
                <w:noProof/>
                <w:webHidden/>
              </w:rPr>
              <w:fldChar w:fldCharType="begin"/>
            </w:r>
            <w:r>
              <w:rPr>
                <w:noProof/>
                <w:webHidden/>
              </w:rPr>
              <w:instrText xml:space="preserve"> PAGEREF _Toc190242716 \h </w:instrText>
            </w:r>
            <w:r>
              <w:rPr>
                <w:noProof/>
                <w:webHidden/>
              </w:rPr>
            </w:r>
            <w:r>
              <w:rPr>
                <w:noProof/>
                <w:webHidden/>
              </w:rPr>
              <w:fldChar w:fldCharType="separate"/>
            </w:r>
            <w:r>
              <w:rPr>
                <w:noProof/>
                <w:webHidden/>
              </w:rPr>
              <w:t>28</w:t>
            </w:r>
            <w:r>
              <w:rPr>
                <w:noProof/>
                <w:webHidden/>
              </w:rPr>
              <w:fldChar w:fldCharType="end"/>
            </w:r>
          </w:hyperlink>
        </w:p>
        <w:p w14:paraId="0D48455B" w14:textId="3F2C7938" w:rsidR="006C29B6" w:rsidRDefault="006C29B6">
          <w:pPr>
            <w:pStyle w:val="TOC3"/>
            <w:tabs>
              <w:tab w:val="left" w:pos="1320"/>
              <w:tab w:val="right" w:leader="dot" w:pos="9350"/>
            </w:tabs>
            <w:rPr>
              <w:rFonts w:asciiTheme="minorHAnsi" w:eastAsiaTheme="minorEastAsia" w:hAnsiTheme="minorHAnsi"/>
              <w:noProof/>
              <w:szCs w:val="24"/>
            </w:rPr>
          </w:pPr>
          <w:hyperlink w:anchor="_Toc190242717" w:history="1">
            <w:r w:rsidRPr="00B37BB0">
              <w:rPr>
                <w:rStyle w:val="Hyperlink"/>
                <w:noProof/>
              </w:rPr>
              <w:t>4.6.4</w:t>
            </w:r>
            <w:r>
              <w:rPr>
                <w:rFonts w:asciiTheme="minorHAnsi" w:eastAsiaTheme="minorEastAsia" w:hAnsiTheme="minorHAnsi"/>
                <w:noProof/>
                <w:szCs w:val="24"/>
              </w:rPr>
              <w:tab/>
            </w:r>
            <w:r w:rsidRPr="00B37BB0">
              <w:rPr>
                <w:rStyle w:val="Hyperlink"/>
                <w:noProof/>
              </w:rPr>
              <w:t>Centerline and Lane Miles.</w:t>
            </w:r>
            <w:r>
              <w:rPr>
                <w:noProof/>
                <w:webHidden/>
              </w:rPr>
              <w:tab/>
            </w:r>
            <w:r>
              <w:rPr>
                <w:noProof/>
                <w:webHidden/>
              </w:rPr>
              <w:fldChar w:fldCharType="begin"/>
            </w:r>
            <w:r>
              <w:rPr>
                <w:noProof/>
                <w:webHidden/>
              </w:rPr>
              <w:instrText xml:space="preserve"> PAGEREF _Toc190242717 \h </w:instrText>
            </w:r>
            <w:r>
              <w:rPr>
                <w:noProof/>
                <w:webHidden/>
              </w:rPr>
            </w:r>
            <w:r>
              <w:rPr>
                <w:noProof/>
                <w:webHidden/>
              </w:rPr>
              <w:fldChar w:fldCharType="separate"/>
            </w:r>
            <w:r>
              <w:rPr>
                <w:noProof/>
                <w:webHidden/>
              </w:rPr>
              <w:t>28</w:t>
            </w:r>
            <w:r>
              <w:rPr>
                <w:noProof/>
                <w:webHidden/>
              </w:rPr>
              <w:fldChar w:fldCharType="end"/>
            </w:r>
          </w:hyperlink>
        </w:p>
        <w:p w14:paraId="28997A0B" w14:textId="737ABA45" w:rsidR="006C29B6" w:rsidRDefault="006C29B6">
          <w:pPr>
            <w:pStyle w:val="TOC2"/>
            <w:tabs>
              <w:tab w:val="left" w:pos="880"/>
              <w:tab w:val="right" w:leader="dot" w:pos="9350"/>
            </w:tabs>
            <w:rPr>
              <w:rFonts w:asciiTheme="minorHAnsi" w:eastAsiaTheme="minorEastAsia" w:hAnsiTheme="minorHAnsi"/>
              <w:noProof/>
              <w:szCs w:val="24"/>
            </w:rPr>
          </w:pPr>
          <w:hyperlink w:anchor="_Toc190242718" w:history="1">
            <w:r w:rsidRPr="00B37BB0">
              <w:rPr>
                <w:rStyle w:val="Hyperlink"/>
                <w:noProof/>
              </w:rPr>
              <w:t>4.7</w:t>
            </w:r>
            <w:r>
              <w:rPr>
                <w:rFonts w:asciiTheme="minorHAnsi" w:eastAsiaTheme="minorEastAsia" w:hAnsiTheme="minorHAnsi"/>
                <w:noProof/>
                <w:szCs w:val="24"/>
              </w:rPr>
              <w:tab/>
            </w:r>
            <w:r w:rsidRPr="00B37BB0">
              <w:rPr>
                <w:rStyle w:val="Hyperlink"/>
                <w:noProof/>
              </w:rPr>
              <w:t>Estimation of Off-Network Activity</w:t>
            </w:r>
            <w:r>
              <w:rPr>
                <w:noProof/>
                <w:webHidden/>
              </w:rPr>
              <w:tab/>
            </w:r>
            <w:r>
              <w:rPr>
                <w:noProof/>
                <w:webHidden/>
              </w:rPr>
              <w:fldChar w:fldCharType="begin"/>
            </w:r>
            <w:r>
              <w:rPr>
                <w:noProof/>
                <w:webHidden/>
              </w:rPr>
              <w:instrText xml:space="preserve"> PAGEREF _Toc190242718 \h </w:instrText>
            </w:r>
            <w:r>
              <w:rPr>
                <w:noProof/>
                <w:webHidden/>
              </w:rPr>
            </w:r>
            <w:r>
              <w:rPr>
                <w:noProof/>
                <w:webHidden/>
              </w:rPr>
              <w:fldChar w:fldCharType="separate"/>
            </w:r>
            <w:r>
              <w:rPr>
                <w:noProof/>
                <w:webHidden/>
              </w:rPr>
              <w:t>28</w:t>
            </w:r>
            <w:r>
              <w:rPr>
                <w:noProof/>
                <w:webHidden/>
              </w:rPr>
              <w:fldChar w:fldCharType="end"/>
            </w:r>
          </w:hyperlink>
        </w:p>
        <w:p w14:paraId="22EBC480" w14:textId="40F1C480" w:rsidR="006C29B6" w:rsidRDefault="006C29B6">
          <w:pPr>
            <w:pStyle w:val="TOC3"/>
            <w:tabs>
              <w:tab w:val="left" w:pos="1320"/>
              <w:tab w:val="right" w:leader="dot" w:pos="9350"/>
            </w:tabs>
            <w:rPr>
              <w:rFonts w:asciiTheme="minorHAnsi" w:eastAsiaTheme="minorEastAsia" w:hAnsiTheme="minorHAnsi"/>
              <w:noProof/>
              <w:szCs w:val="24"/>
            </w:rPr>
          </w:pPr>
          <w:hyperlink w:anchor="_Toc190242719" w:history="1">
            <w:r w:rsidRPr="00B37BB0">
              <w:rPr>
                <w:rStyle w:val="Hyperlink"/>
                <w:noProof/>
              </w:rPr>
              <w:t>4.7.1</w:t>
            </w:r>
            <w:r>
              <w:rPr>
                <w:rFonts w:asciiTheme="minorHAnsi" w:eastAsiaTheme="minorEastAsia" w:hAnsiTheme="minorHAnsi"/>
                <w:noProof/>
                <w:szCs w:val="24"/>
              </w:rPr>
              <w:tab/>
            </w:r>
            <w:r w:rsidRPr="00B37BB0">
              <w:rPr>
                <w:rStyle w:val="Hyperlink"/>
                <w:noProof/>
              </w:rPr>
              <w:t>Vehicle Populations</w:t>
            </w:r>
            <w:r>
              <w:rPr>
                <w:noProof/>
                <w:webHidden/>
              </w:rPr>
              <w:tab/>
            </w:r>
            <w:r>
              <w:rPr>
                <w:noProof/>
                <w:webHidden/>
              </w:rPr>
              <w:fldChar w:fldCharType="begin"/>
            </w:r>
            <w:r>
              <w:rPr>
                <w:noProof/>
                <w:webHidden/>
              </w:rPr>
              <w:instrText xml:space="preserve"> PAGEREF _Toc190242719 \h </w:instrText>
            </w:r>
            <w:r>
              <w:rPr>
                <w:noProof/>
                <w:webHidden/>
              </w:rPr>
            </w:r>
            <w:r>
              <w:rPr>
                <w:noProof/>
                <w:webHidden/>
              </w:rPr>
              <w:fldChar w:fldCharType="separate"/>
            </w:r>
            <w:r>
              <w:rPr>
                <w:noProof/>
                <w:webHidden/>
              </w:rPr>
              <w:t>28</w:t>
            </w:r>
            <w:r>
              <w:rPr>
                <w:noProof/>
                <w:webHidden/>
              </w:rPr>
              <w:fldChar w:fldCharType="end"/>
            </w:r>
          </w:hyperlink>
        </w:p>
        <w:p w14:paraId="49DE276F" w14:textId="1F7B442D" w:rsidR="006C29B6" w:rsidRDefault="006C29B6">
          <w:pPr>
            <w:pStyle w:val="TOC3"/>
            <w:tabs>
              <w:tab w:val="left" w:pos="1320"/>
              <w:tab w:val="right" w:leader="dot" w:pos="9350"/>
            </w:tabs>
            <w:rPr>
              <w:rFonts w:asciiTheme="minorHAnsi" w:eastAsiaTheme="minorEastAsia" w:hAnsiTheme="minorHAnsi"/>
              <w:noProof/>
              <w:szCs w:val="24"/>
            </w:rPr>
          </w:pPr>
          <w:hyperlink w:anchor="_Toc190242720" w:history="1">
            <w:r w:rsidRPr="00B37BB0">
              <w:rPr>
                <w:rStyle w:val="Hyperlink"/>
                <w:noProof/>
              </w:rPr>
              <w:t>4.7.2</w:t>
            </w:r>
            <w:r>
              <w:rPr>
                <w:rFonts w:asciiTheme="minorHAnsi" w:eastAsiaTheme="minorEastAsia" w:hAnsiTheme="minorHAnsi"/>
                <w:noProof/>
                <w:szCs w:val="24"/>
              </w:rPr>
              <w:tab/>
            </w:r>
            <w:r w:rsidRPr="00B37BB0">
              <w:rPr>
                <w:rStyle w:val="Hyperlink"/>
                <w:noProof/>
              </w:rPr>
              <w:t>Off-Network Idling Hours</w:t>
            </w:r>
            <w:r>
              <w:rPr>
                <w:noProof/>
                <w:webHidden/>
              </w:rPr>
              <w:tab/>
            </w:r>
            <w:r>
              <w:rPr>
                <w:noProof/>
                <w:webHidden/>
              </w:rPr>
              <w:fldChar w:fldCharType="begin"/>
            </w:r>
            <w:r>
              <w:rPr>
                <w:noProof/>
                <w:webHidden/>
              </w:rPr>
              <w:instrText xml:space="preserve"> PAGEREF _Toc190242720 \h </w:instrText>
            </w:r>
            <w:r>
              <w:rPr>
                <w:noProof/>
                <w:webHidden/>
              </w:rPr>
            </w:r>
            <w:r>
              <w:rPr>
                <w:noProof/>
                <w:webHidden/>
              </w:rPr>
              <w:fldChar w:fldCharType="separate"/>
            </w:r>
            <w:r>
              <w:rPr>
                <w:noProof/>
                <w:webHidden/>
              </w:rPr>
              <w:t>29</w:t>
            </w:r>
            <w:r>
              <w:rPr>
                <w:noProof/>
                <w:webHidden/>
              </w:rPr>
              <w:fldChar w:fldCharType="end"/>
            </w:r>
          </w:hyperlink>
        </w:p>
        <w:p w14:paraId="6A9BAB5B" w14:textId="65253763" w:rsidR="006C29B6" w:rsidRDefault="006C29B6">
          <w:pPr>
            <w:pStyle w:val="TOC3"/>
            <w:tabs>
              <w:tab w:val="left" w:pos="1320"/>
              <w:tab w:val="right" w:leader="dot" w:pos="9350"/>
            </w:tabs>
            <w:rPr>
              <w:rFonts w:asciiTheme="minorHAnsi" w:eastAsiaTheme="minorEastAsia" w:hAnsiTheme="minorHAnsi"/>
              <w:noProof/>
              <w:szCs w:val="24"/>
            </w:rPr>
          </w:pPr>
          <w:hyperlink w:anchor="_Toc190242721" w:history="1">
            <w:r w:rsidRPr="00B37BB0">
              <w:rPr>
                <w:rStyle w:val="Hyperlink"/>
                <w:noProof/>
              </w:rPr>
              <w:t>4.7.3</w:t>
            </w:r>
            <w:r>
              <w:rPr>
                <w:rFonts w:asciiTheme="minorHAnsi" w:eastAsiaTheme="minorEastAsia" w:hAnsiTheme="minorHAnsi"/>
                <w:noProof/>
                <w:szCs w:val="24"/>
              </w:rPr>
              <w:tab/>
            </w:r>
            <w:r w:rsidRPr="00B37BB0">
              <w:rPr>
                <w:rStyle w:val="Hyperlink"/>
                <w:noProof/>
              </w:rPr>
              <w:t>Source Hours Parked</w:t>
            </w:r>
            <w:r>
              <w:rPr>
                <w:noProof/>
                <w:webHidden/>
              </w:rPr>
              <w:tab/>
            </w:r>
            <w:r>
              <w:rPr>
                <w:noProof/>
                <w:webHidden/>
              </w:rPr>
              <w:fldChar w:fldCharType="begin"/>
            </w:r>
            <w:r>
              <w:rPr>
                <w:noProof/>
                <w:webHidden/>
              </w:rPr>
              <w:instrText xml:space="preserve"> PAGEREF _Toc190242721 \h </w:instrText>
            </w:r>
            <w:r>
              <w:rPr>
                <w:noProof/>
                <w:webHidden/>
              </w:rPr>
            </w:r>
            <w:r>
              <w:rPr>
                <w:noProof/>
                <w:webHidden/>
              </w:rPr>
              <w:fldChar w:fldCharType="separate"/>
            </w:r>
            <w:r>
              <w:rPr>
                <w:noProof/>
                <w:webHidden/>
              </w:rPr>
              <w:t>30</w:t>
            </w:r>
            <w:r>
              <w:rPr>
                <w:noProof/>
                <w:webHidden/>
              </w:rPr>
              <w:fldChar w:fldCharType="end"/>
            </w:r>
          </w:hyperlink>
        </w:p>
        <w:p w14:paraId="7109C0AF" w14:textId="0D6595CE" w:rsidR="006C29B6" w:rsidRDefault="006C29B6">
          <w:pPr>
            <w:pStyle w:val="TOC3"/>
            <w:tabs>
              <w:tab w:val="left" w:pos="1320"/>
              <w:tab w:val="right" w:leader="dot" w:pos="9350"/>
            </w:tabs>
            <w:rPr>
              <w:rFonts w:asciiTheme="minorHAnsi" w:eastAsiaTheme="minorEastAsia" w:hAnsiTheme="minorHAnsi"/>
              <w:noProof/>
              <w:szCs w:val="24"/>
            </w:rPr>
          </w:pPr>
          <w:hyperlink w:anchor="_Toc190242722" w:history="1">
            <w:r w:rsidRPr="00B37BB0">
              <w:rPr>
                <w:rStyle w:val="Hyperlink"/>
                <w:noProof/>
              </w:rPr>
              <w:t>4.7.4</w:t>
            </w:r>
            <w:r>
              <w:rPr>
                <w:rFonts w:asciiTheme="minorHAnsi" w:eastAsiaTheme="minorEastAsia" w:hAnsiTheme="minorHAnsi"/>
                <w:noProof/>
                <w:szCs w:val="24"/>
              </w:rPr>
              <w:tab/>
            </w:r>
            <w:r w:rsidRPr="00B37BB0">
              <w:rPr>
                <w:rStyle w:val="Hyperlink"/>
                <w:noProof/>
              </w:rPr>
              <w:t>Starts</w:t>
            </w:r>
            <w:r>
              <w:rPr>
                <w:noProof/>
                <w:webHidden/>
              </w:rPr>
              <w:tab/>
            </w:r>
            <w:r>
              <w:rPr>
                <w:noProof/>
                <w:webHidden/>
              </w:rPr>
              <w:fldChar w:fldCharType="begin"/>
            </w:r>
            <w:r>
              <w:rPr>
                <w:noProof/>
                <w:webHidden/>
              </w:rPr>
              <w:instrText xml:space="preserve"> PAGEREF _Toc190242722 \h </w:instrText>
            </w:r>
            <w:r>
              <w:rPr>
                <w:noProof/>
                <w:webHidden/>
              </w:rPr>
            </w:r>
            <w:r>
              <w:rPr>
                <w:noProof/>
                <w:webHidden/>
              </w:rPr>
              <w:fldChar w:fldCharType="separate"/>
            </w:r>
            <w:r>
              <w:rPr>
                <w:noProof/>
                <w:webHidden/>
              </w:rPr>
              <w:t>30</w:t>
            </w:r>
            <w:r>
              <w:rPr>
                <w:noProof/>
                <w:webHidden/>
              </w:rPr>
              <w:fldChar w:fldCharType="end"/>
            </w:r>
          </w:hyperlink>
        </w:p>
        <w:p w14:paraId="1E31F8BB" w14:textId="2EF761A7" w:rsidR="006C29B6" w:rsidRDefault="006C29B6">
          <w:pPr>
            <w:pStyle w:val="TOC3"/>
            <w:tabs>
              <w:tab w:val="left" w:pos="1320"/>
              <w:tab w:val="right" w:leader="dot" w:pos="9350"/>
            </w:tabs>
            <w:rPr>
              <w:rFonts w:asciiTheme="minorHAnsi" w:eastAsiaTheme="minorEastAsia" w:hAnsiTheme="minorHAnsi"/>
              <w:noProof/>
              <w:szCs w:val="24"/>
            </w:rPr>
          </w:pPr>
          <w:hyperlink w:anchor="_Toc190242723" w:history="1">
            <w:r w:rsidRPr="00B37BB0">
              <w:rPr>
                <w:rStyle w:val="Hyperlink"/>
                <w:noProof/>
              </w:rPr>
              <w:t>4.7.5</w:t>
            </w:r>
            <w:r>
              <w:rPr>
                <w:rFonts w:asciiTheme="minorHAnsi" w:eastAsiaTheme="minorEastAsia" w:hAnsiTheme="minorHAnsi"/>
                <w:noProof/>
                <w:szCs w:val="24"/>
              </w:rPr>
              <w:tab/>
            </w:r>
            <w:r w:rsidRPr="00B37BB0">
              <w:rPr>
                <w:rStyle w:val="Hyperlink"/>
                <w:noProof/>
              </w:rPr>
              <w:t>Hoteling: Source Hours Extended Idling and Auxiliary Power Unit Hours</w:t>
            </w:r>
            <w:r>
              <w:rPr>
                <w:noProof/>
                <w:webHidden/>
              </w:rPr>
              <w:tab/>
            </w:r>
            <w:r>
              <w:rPr>
                <w:noProof/>
                <w:webHidden/>
              </w:rPr>
              <w:fldChar w:fldCharType="begin"/>
            </w:r>
            <w:r>
              <w:rPr>
                <w:noProof/>
                <w:webHidden/>
              </w:rPr>
              <w:instrText xml:space="preserve"> PAGEREF _Toc190242723 \h </w:instrText>
            </w:r>
            <w:r>
              <w:rPr>
                <w:noProof/>
                <w:webHidden/>
              </w:rPr>
            </w:r>
            <w:r>
              <w:rPr>
                <w:noProof/>
                <w:webHidden/>
              </w:rPr>
              <w:fldChar w:fldCharType="separate"/>
            </w:r>
            <w:r>
              <w:rPr>
                <w:noProof/>
                <w:webHidden/>
              </w:rPr>
              <w:t>31</w:t>
            </w:r>
            <w:r>
              <w:rPr>
                <w:noProof/>
                <w:webHidden/>
              </w:rPr>
              <w:fldChar w:fldCharType="end"/>
            </w:r>
          </w:hyperlink>
        </w:p>
        <w:p w14:paraId="7E1FDAD9" w14:textId="427FCD63" w:rsidR="006C29B6" w:rsidRDefault="006C29B6">
          <w:pPr>
            <w:pStyle w:val="TOC1"/>
            <w:tabs>
              <w:tab w:val="left" w:pos="480"/>
              <w:tab w:val="right" w:leader="dot" w:pos="9350"/>
            </w:tabs>
            <w:rPr>
              <w:rFonts w:asciiTheme="minorHAnsi" w:eastAsiaTheme="minorEastAsia" w:hAnsiTheme="minorHAnsi"/>
              <w:noProof/>
              <w:szCs w:val="24"/>
            </w:rPr>
          </w:pPr>
          <w:hyperlink w:anchor="_Toc190242724" w:history="1">
            <w:r w:rsidRPr="00B37BB0">
              <w:rPr>
                <w:rStyle w:val="Hyperlink"/>
                <w:noProof/>
              </w:rPr>
              <w:t>5.</w:t>
            </w:r>
            <w:r>
              <w:rPr>
                <w:rFonts w:asciiTheme="minorHAnsi" w:eastAsiaTheme="minorEastAsia" w:hAnsiTheme="minorHAnsi"/>
                <w:noProof/>
                <w:szCs w:val="24"/>
              </w:rPr>
              <w:tab/>
            </w:r>
            <w:r w:rsidRPr="00B37BB0">
              <w:rPr>
                <w:rStyle w:val="Hyperlink"/>
                <w:noProof/>
              </w:rPr>
              <w:t>Emissions Factor Estimation</w:t>
            </w:r>
            <w:r>
              <w:rPr>
                <w:noProof/>
                <w:webHidden/>
              </w:rPr>
              <w:tab/>
            </w:r>
            <w:r>
              <w:rPr>
                <w:noProof/>
                <w:webHidden/>
              </w:rPr>
              <w:fldChar w:fldCharType="begin"/>
            </w:r>
            <w:r>
              <w:rPr>
                <w:noProof/>
                <w:webHidden/>
              </w:rPr>
              <w:instrText xml:space="preserve"> PAGEREF _Toc190242724 \h </w:instrText>
            </w:r>
            <w:r>
              <w:rPr>
                <w:noProof/>
                <w:webHidden/>
              </w:rPr>
            </w:r>
            <w:r>
              <w:rPr>
                <w:noProof/>
                <w:webHidden/>
              </w:rPr>
              <w:fldChar w:fldCharType="separate"/>
            </w:r>
            <w:r>
              <w:rPr>
                <w:noProof/>
                <w:webHidden/>
              </w:rPr>
              <w:t>34</w:t>
            </w:r>
            <w:r>
              <w:rPr>
                <w:noProof/>
                <w:webHidden/>
              </w:rPr>
              <w:fldChar w:fldCharType="end"/>
            </w:r>
          </w:hyperlink>
        </w:p>
        <w:p w14:paraId="271BAA86" w14:textId="59CEC88D" w:rsidR="006C29B6" w:rsidRDefault="006C29B6">
          <w:pPr>
            <w:pStyle w:val="TOC2"/>
            <w:tabs>
              <w:tab w:val="left" w:pos="880"/>
              <w:tab w:val="right" w:leader="dot" w:pos="9350"/>
            </w:tabs>
            <w:rPr>
              <w:rFonts w:asciiTheme="minorHAnsi" w:eastAsiaTheme="minorEastAsia" w:hAnsiTheme="minorHAnsi"/>
              <w:noProof/>
              <w:szCs w:val="24"/>
            </w:rPr>
          </w:pPr>
          <w:hyperlink w:anchor="_Toc190242725" w:history="1">
            <w:r w:rsidRPr="00B37BB0">
              <w:rPr>
                <w:rStyle w:val="Hyperlink"/>
                <w:noProof/>
              </w:rPr>
              <w:t>5.1</w:t>
            </w:r>
            <w:r>
              <w:rPr>
                <w:rFonts w:asciiTheme="minorHAnsi" w:eastAsiaTheme="minorEastAsia" w:hAnsiTheme="minorHAnsi"/>
                <w:noProof/>
                <w:szCs w:val="24"/>
              </w:rPr>
              <w:tab/>
            </w:r>
            <w:r w:rsidRPr="00B37BB0">
              <w:rPr>
                <w:rStyle w:val="Hyperlink"/>
                <w:noProof/>
              </w:rPr>
              <w:t>Emissions Factor Estimation Model</w:t>
            </w:r>
            <w:r>
              <w:rPr>
                <w:noProof/>
                <w:webHidden/>
              </w:rPr>
              <w:tab/>
            </w:r>
            <w:r>
              <w:rPr>
                <w:noProof/>
                <w:webHidden/>
              </w:rPr>
              <w:fldChar w:fldCharType="begin"/>
            </w:r>
            <w:r>
              <w:rPr>
                <w:noProof/>
                <w:webHidden/>
              </w:rPr>
              <w:instrText xml:space="preserve"> PAGEREF _Toc190242725 \h </w:instrText>
            </w:r>
            <w:r>
              <w:rPr>
                <w:noProof/>
                <w:webHidden/>
              </w:rPr>
            </w:r>
            <w:r>
              <w:rPr>
                <w:noProof/>
                <w:webHidden/>
              </w:rPr>
              <w:fldChar w:fldCharType="separate"/>
            </w:r>
            <w:r>
              <w:rPr>
                <w:noProof/>
                <w:webHidden/>
              </w:rPr>
              <w:t>34</w:t>
            </w:r>
            <w:r>
              <w:rPr>
                <w:noProof/>
                <w:webHidden/>
              </w:rPr>
              <w:fldChar w:fldCharType="end"/>
            </w:r>
          </w:hyperlink>
        </w:p>
        <w:p w14:paraId="6B699B89" w14:textId="3EC69B29" w:rsidR="006C29B6" w:rsidRDefault="006C29B6">
          <w:pPr>
            <w:pStyle w:val="TOC2"/>
            <w:tabs>
              <w:tab w:val="left" w:pos="880"/>
              <w:tab w:val="right" w:leader="dot" w:pos="9350"/>
            </w:tabs>
            <w:rPr>
              <w:rFonts w:asciiTheme="minorHAnsi" w:eastAsiaTheme="minorEastAsia" w:hAnsiTheme="minorHAnsi"/>
              <w:noProof/>
              <w:szCs w:val="24"/>
            </w:rPr>
          </w:pPr>
          <w:hyperlink w:anchor="_Toc190242726" w:history="1">
            <w:r w:rsidRPr="00B37BB0">
              <w:rPr>
                <w:rStyle w:val="Hyperlink"/>
                <w:noProof/>
              </w:rPr>
              <w:t>5.2</w:t>
            </w:r>
            <w:r>
              <w:rPr>
                <w:rFonts w:asciiTheme="minorHAnsi" w:eastAsiaTheme="minorEastAsia" w:hAnsiTheme="minorHAnsi"/>
                <w:noProof/>
                <w:szCs w:val="24"/>
              </w:rPr>
              <w:tab/>
            </w:r>
            <w:r w:rsidRPr="00B37BB0">
              <w:rPr>
                <w:rStyle w:val="Hyperlink"/>
                <w:noProof/>
              </w:rPr>
              <w:t>Modeled Emission Estimates</w:t>
            </w:r>
            <w:r>
              <w:rPr>
                <w:noProof/>
                <w:webHidden/>
              </w:rPr>
              <w:tab/>
            </w:r>
            <w:r>
              <w:rPr>
                <w:noProof/>
                <w:webHidden/>
              </w:rPr>
              <w:fldChar w:fldCharType="begin"/>
            </w:r>
            <w:r>
              <w:rPr>
                <w:noProof/>
                <w:webHidden/>
              </w:rPr>
              <w:instrText xml:space="preserve"> PAGEREF _Toc190242726 \h </w:instrText>
            </w:r>
            <w:r>
              <w:rPr>
                <w:noProof/>
                <w:webHidden/>
              </w:rPr>
            </w:r>
            <w:r>
              <w:rPr>
                <w:noProof/>
                <w:webHidden/>
              </w:rPr>
              <w:fldChar w:fldCharType="separate"/>
            </w:r>
            <w:r>
              <w:rPr>
                <w:noProof/>
                <w:webHidden/>
              </w:rPr>
              <w:t>41</w:t>
            </w:r>
            <w:r>
              <w:rPr>
                <w:noProof/>
                <w:webHidden/>
              </w:rPr>
              <w:fldChar w:fldCharType="end"/>
            </w:r>
          </w:hyperlink>
        </w:p>
        <w:p w14:paraId="4D80D433" w14:textId="66C33D75" w:rsidR="006C29B6" w:rsidRDefault="006C29B6">
          <w:pPr>
            <w:pStyle w:val="TOC3"/>
            <w:tabs>
              <w:tab w:val="left" w:pos="1320"/>
              <w:tab w:val="right" w:leader="dot" w:pos="9350"/>
            </w:tabs>
            <w:rPr>
              <w:rFonts w:asciiTheme="minorHAnsi" w:eastAsiaTheme="minorEastAsia" w:hAnsiTheme="minorHAnsi"/>
              <w:noProof/>
              <w:szCs w:val="24"/>
            </w:rPr>
          </w:pPr>
          <w:hyperlink w:anchor="_Toc190242727" w:history="1">
            <w:r w:rsidRPr="00B37BB0">
              <w:rPr>
                <w:rStyle w:val="Hyperlink"/>
                <w:noProof/>
              </w:rPr>
              <w:t>5.2.1</w:t>
            </w:r>
            <w:r>
              <w:rPr>
                <w:rFonts w:asciiTheme="minorHAnsi" w:eastAsiaTheme="minorEastAsia" w:hAnsiTheme="minorHAnsi"/>
                <w:noProof/>
                <w:szCs w:val="24"/>
              </w:rPr>
              <w:tab/>
            </w:r>
            <w:r w:rsidRPr="00B37BB0">
              <w:rPr>
                <w:rStyle w:val="Hyperlink"/>
                <w:noProof/>
              </w:rPr>
              <w:t>Vehicle Registration Distribution</w:t>
            </w:r>
            <w:r>
              <w:rPr>
                <w:noProof/>
                <w:webHidden/>
              </w:rPr>
              <w:tab/>
            </w:r>
            <w:r>
              <w:rPr>
                <w:noProof/>
                <w:webHidden/>
              </w:rPr>
              <w:fldChar w:fldCharType="begin"/>
            </w:r>
            <w:r>
              <w:rPr>
                <w:noProof/>
                <w:webHidden/>
              </w:rPr>
              <w:instrText xml:space="preserve"> PAGEREF _Toc190242727 \h </w:instrText>
            </w:r>
            <w:r>
              <w:rPr>
                <w:noProof/>
                <w:webHidden/>
              </w:rPr>
            </w:r>
            <w:r>
              <w:rPr>
                <w:noProof/>
                <w:webHidden/>
              </w:rPr>
              <w:fldChar w:fldCharType="separate"/>
            </w:r>
            <w:r>
              <w:rPr>
                <w:noProof/>
                <w:webHidden/>
              </w:rPr>
              <w:t>41</w:t>
            </w:r>
            <w:r>
              <w:rPr>
                <w:noProof/>
                <w:webHidden/>
              </w:rPr>
              <w:fldChar w:fldCharType="end"/>
            </w:r>
          </w:hyperlink>
        </w:p>
        <w:p w14:paraId="62598510" w14:textId="6ED67401" w:rsidR="006C29B6" w:rsidRDefault="006C29B6">
          <w:pPr>
            <w:pStyle w:val="TOC3"/>
            <w:tabs>
              <w:tab w:val="left" w:pos="1320"/>
              <w:tab w:val="right" w:leader="dot" w:pos="9350"/>
            </w:tabs>
            <w:rPr>
              <w:rFonts w:asciiTheme="minorHAnsi" w:eastAsiaTheme="minorEastAsia" w:hAnsiTheme="minorHAnsi"/>
              <w:noProof/>
              <w:szCs w:val="24"/>
            </w:rPr>
          </w:pPr>
          <w:hyperlink w:anchor="_Toc190242728" w:history="1">
            <w:r w:rsidRPr="00B37BB0">
              <w:rPr>
                <w:rStyle w:val="Hyperlink"/>
                <w:noProof/>
              </w:rPr>
              <w:t>5.2.2</w:t>
            </w:r>
            <w:r>
              <w:rPr>
                <w:rFonts w:asciiTheme="minorHAnsi" w:eastAsiaTheme="minorEastAsia" w:hAnsiTheme="minorHAnsi"/>
                <w:noProof/>
                <w:szCs w:val="24"/>
              </w:rPr>
              <w:tab/>
            </w:r>
            <w:r w:rsidRPr="00B37BB0">
              <w:rPr>
                <w:rStyle w:val="Hyperlink"/>
                <w:noProof/>
              </w:rPr>
              <w:t>Alternative Fuel Vehicle Technology</w:t>
            </w:r>
            <w:r>
              <w:rPr>
                <w:noProof/>
                <w:webHidden/>
              </w:rPr>
              <w:tab/>
            </w:r>
            <w:r>
              <w:rPr>
                <w:noProof/>
                <w:webHidden/>
              </w:rPr>
              <w:fldChar w:fldCharType="begin"/>
            </w:r>
            <w:r>
              <w:rPr>
                <w:noProof/>
                <w:webHidden/>
              </w:rPr>
              <w:instrText xml:space="preserve"> PAGEREF _Toc190242728 \h </w:instrText>
            </w:r>
            <w:r>
              <w:rPr>
                <w:noProof/>
                <w:webHidden/>
              </w:rPr>
            </w:r>
            <w:r>
              <w:rPr>
                <w:noProof/>
                <w:webHidden/>
              </w:rPr>
              <w:fldChar w:fldCharType="separate"/>
            </w:r>
            <w:r>
              <w:rPr>
                <w:noProof/>
                <w:webHidden/>
              </w:rPr>
              <w:t>41</w:t>
            </w:r>
            <w:r>
              <w:rPr>
                <w:noProof/>
                <w:webHidden/>
              </w:rPr>
              <w:fldChar w:fldCharType="end"/>
            </w:r>
          </w:hyperlink>
        </w:p>
        <w:p w14:paraId="1F529D2B" w14:textId="30F73A71" w:rsidR="006C29B6" w:rsidRDefault="006C29B6">
          <w:pPr>
            <w:pStyle w:val="TOC3"/>
            <w:tabs>
              <w:tab w:val="left" w:pos="1320"/>
              <w:tab w:val="right" w:leader="dot" w:pos="9350"/>
            </w:tabs>
            <w:rPr>
              <w:rFonts w:asciiTheme="minorHAnsi" w:eastAsiaTheme="minorEastAsia" w:hAnsiTheme="minorHAnsi"/>
              <w:noProof/>
              <w:szCs w:val="24"/>
            </w:rPr>
          </w:pPr>
          <w:hyperlink w:anchor="_Toc190242729" w:history="1">
            <w:r w:rsidRPr="00B37BB0">
              <w:rPr>
                <w:rStyle w:val="Hyperlink"/>
                <w:noProof/>
              </w:rPr>
              <w:t>5.2.3</w:t>
            </w:r>
            <w:r>
              <w:rPr>
                <w:rFonts w:asciiTheme="minorHAnsi" w:eastAsiaTheme="minorEastAsia" w:hAnsiTheme="minorHAnsi"/>
                <w:noProof/>
                <w:szCs w:val="24"/>
              </w:rPr>
              <w:tab/>
            </w:r>
            <w:r w:rsidRPr="00B37BB0">
              <w:rPr>
                <w:rStyle w:val="Hyperlink"/>
                <w:noProof/>
              </w:rPr>
              <w:t>VMT Mix</w:t>
            </w:r>
            <w:r>
              <w:rPr>
                <w:noProof/>
                <w:webHidden/>
              </w:rPr>
              <w:tab/>
            </w:r>
            <w:r>
              <w:rPr>
                <w:noProof/>
                <w:webHidden/>
              </w:rPr>
              <w:fldChar w:fldCharType="begin"/>
            </w:r>
            <w:r>
              <w:rPr>
                <w:noProof/>
                <w:webHidden/>
              </w:rPr>
              <w:instrText xml:space="preserve"> PAGEREF _Toc190242729 \h </w:instrText>
            </w:r>
            <w:r>
              <w:rPr>
                <w:noProof/>
                <w:webHidden/>
              </w:rPr>
            </w:r>
            <w:r>
              <w:rPr>
                <w:noProof/>
                <w:webHidden/>
              </w:rPr>
              <w:fldChar w:fldCharType="separate"/>
            </w:r>
            <w:r>
              <w:rPr>
                <w:noProof/>
                <w:webHidden/>
              </w:rPr>
              <w:t>42</w:t>
            </w:r>
            <w:r>
              <w:rPr>
                <w:noProof/>
                <w:webHidden/>
              </w:rPr>
              <w:fldChar w:fldCharType="end"/>
            </w:r>
          </w:hyperlink>
        </w:p>
        <w:p w14:paraId="3F6432BE" w14:textId="3C2259CD" w:rsidR="006C29B6" w:rsidRDefault="006C29B6">
          <w:pPr>
            <w:pStyle w:val="TOC1"/>
            <w:tabs>
              <w:tab w:val="left" w:pos="480"/>
              <w:tab w:val="right" w:leader="dot" w:pos="9350"/>
            </w:tabs>
            <w:rPr>
              <w:rFonts w:asciiTheme="minorHAnsi" w:eastAsiaTheme="minorEastAsia" w:hAnsiTheme="minorHAnsi"/>
              <w:noProof/>
              <w:szCs w:val="24"/>
            </w:rPr>
          </w:pPr>
          <w:hyperlink w:anchor="_Toc190242730" w:history="1">
            <w:r w:rsidRPr="00B37BB0">
              <w:rPr>
                <w:rStyle w:val="Hyperlink"/>
                <w:noProof/>
              </w:rPr>
              <w:t>6.</w:t>
            </w:r>
            <w:r>
              <w:rPr>
                <w:rFonts w:asciiTheme="minorHAnsi" w:eastAsiaTheme="minorEastAsia" w:hAnsiTheme="minorHAnsi"/>
                <w:noProof/>
                <w:szCs w:val="24"/>
              </w:rPr>
              <w:tab/>
            </w:r>
            <w:r w:rsidRPr="00B37BB0">
              <w:rPr>
                <w:rStyle w:val="Hyperlink"/>
                <w:noProof/>
              </w:rPr>
              <w:t>Regional Emissions Determination</w:t>
            </w:r>
            <w:r>
              <w:rPr>
                <w:noProof/>
                <w:webHidden/>
              </w:rPr>
              <w:tab/>
            </w:r>
            <w:r>
              <w:rPr>
                <w:noProof/>
                <w:webHidden/>
              </w:rPr>
              <w:fldChar w:fldCharType="begin"/>
            </w:r>
            <w:r>
              <w:rPr>
                <w:noProof/>
                <w:webHidden/>
              </w:rPr>
              <w:instrText xml:space="preserve"> PAGEREF _Toc190242730 \h </w:instrText>
            </w:r>
            <w:r>
              <w:rPr>
                <w:noProof/>
                <w:webHidden/>
              </w:rPr>
            </w:r>
            <w:r>
              <w:rPr>
                <w:noProof/>
                <w:webHidden/>
              </w:rPr>
              <w:fldChar w:fldCharType="separate"/>
            </w:r>
            <w:r>
              <w:rPr>
                <w:noProof/>
                <w:webHidden/>
              </w:rPr>
              <w:t>43</w:t>
            </w:r>
            <w:r>
              <w:rPr>
                <w:noProof/>
                <w:webHidden/>
              </w:rPr>
              <w:fldChar w:fldCharType="end"/>
            </w:r>
          </w:hyperlink>
        </w:p>
        <w:p w14:paraId="01FB7EBD" w14:textId="7D426128" w:rsidR="006C29B6" w:rsidRDefault="006C29B6">
          <w:pPr>
            <w:pStyle w:val="TOC2"/>
            <w:tabs>
              <w:tab w:val="left" w:pos="880"/>
              <w:tab w:val="right" w:leader="dot" w:pos="9350"/>
            </w:tabs>
            <w:rPr>
              <w:rFonts w:asciiTheme="minorHAnsi" w:eastAsiaTheme="minorEastAsia" w:hAnsiTheme="minorHAnsi"/>
              <w:noProof/>
              <w:szCs w:val="24"/>
            </w:rPr>
          </w:pPr>
          <w:hyperlink w:anchor="_Toc190242731" w:history="1">
            <w:r w:rsidRPr="00B37BB0">
              <w:rPr>
                <w:rStyle w:val="Hyperlink"/>
                <w:noProof/>
              </w:rPr>
              <w:t>6.1</w:t>
            </w:r>
            <w:r>
              <w:rPr>
                <w:rFonts w:asciiTheme="minorHAnsi" w:eastAsiaTheme="minorEastAsia" w:hAnsiTheme="minorHAnsi"/>
                <w:noProof/>
                <w:szCs w:val="24"/>
              </w:rPr>
              <w:tab/>
            </w:r>
            <w:r w:rsidRPr="00B37BB0">
              <w:rPr>
                <w:rStyle w:val="Hyperlink"/>
                <w:noProof/>
              </w:rPr>
              <w:t>Modeled Emissions</w:t>
            </w:r>
            <w:r>
              <w:rPr>
                <w:noProof/>
                <w:webHidden/>
              </w:rPr>
              <w:tab/>
            </w:r>
            <w:r>
              <w:rPr>
                <w:noProof/>
                <w:webHidden/>
              </w:rPr>
              <w:fldChar w:fldCharType="begin"/>
            </w:r>
            <w:r>
              <w:rPr>
                <w:noProof/>
                <w:webHidden/>
              </w:rPr>
              <w:instrText xml:space="preserve"> PAGEREF _Toc190242731 \h </w:instrText>
            </w:r>
            <w:r>
              <w:rPr>
                <w:noProof/>
                <w:webHidden/>
              </w:rPr>
            </w:r>
            <w:r>
              <w:rPr>
                <w:noProof/>
                <w:webHidden/>
              </w:rPr>
              <w:fldChar w:fldCharType="separate"/>
            </w:r>
            <w:r>
              <w:rPr>
                <w:noProof/>
                <w:webHidden/>
              </w:rPr>
              <w:t>43</w:t>
            </w:r>
            <w:r>
              <w:rPr>
                <w:noProof/>
                <w:webHidden/>
              </w:rPr>
              <w:fldChar w:fldCharType="end"/>
            </w:r>
          </w:hyperlink>
        </w:p>
        <w:p w14:paraId="2839D8BA" w14:textId="4C8F1ACD" w:rsidR="006C29B6" w:rsidRDefault="006C29B6">
          <w:pPr>
            <w:pStyle w:val="TOC2"/>
            <w:tabs>
              <w:tab w:val="left" w:pos="880"/>
              <w:tab w:val="right" w:leader="dot" w:pos="9350"/>
            </w:tabs>
            <w:rPr>
              <w:rFonts w:asciiTheme="minorHAnsi" w:eastAsiaTheme="minorEastAsia" w:hAnsiTheme="minorHAnsi"/>
              <w:noProof/>
              <w:szCs w:val="24"/>
            </w:rPr>
          </w:pPr>
          <w:hyperlink w:anchor="_Toc190242732" w:history="1">
            <w:r w:rsidRPr="00B37BB0">
              <w:rPr>
                <w:rStyle w:val="Hyperlink"/>
                <w:noProof/>
              </w:rPr>
              <w:t>6.2</w:t>
            </w:r>
            <w:r>
              <w:rPr>
                <w:rFonts w:asciiTheme="minorHAnsi" w:eastAsiaTheme="minorEastAsia" w:hAnsiTheme="minorHAnsi"/>
                <w:noProof/>
                <w:szCs w:val="24"/>
              </w:rPr>
              <w:tab/>
            </w:r>
            <w:r w:rsidRPr="00B37BB0">
              <w:rPr>
                <w:rStyle w:val="Hyperlink"/>
                <w:noProof/>
              </w:rPr>
              <w:t>Impacts from Adjustments and MOSERS</w:t>
            </w:r>
            <w:r>
              <w:rPr>
                <w:noProof/>
                <w:webHidden/>
              </w:rPr>
              <w:tab/>
            </w:r>
            <w:r>
              <w:rPr>
                <w:noProof/>
                <w:webHidden/>
              </w:rPr>
              <w:fldChar w:fldCharType="begin"/>
            </w:r>
            <w:r>
              <w:rPr>
                <w:noProof/>
                <w:webHidden/>
              </w:rPr>
              <w:instrText xml:space="preserve"> PAGEREF _Toc190242732 \h </w:instrText>
            </w:r>
            <w:r>
              <w:rPr>
                <w:noProof/>
                <w:webHidden/>
              </w:rPr>
            </w:r>
            <w:r>
              <w:rPr>
                <w:noProof/>
                <w:webHidden/>
              </w:rPr>
              <w:fldChar w:fldCharType="separate"/>
            </w:r>
            <w:r>
              <w:rPr>
                <w:noProof/>
                <w:webHidden/>
              </w:rPr>
              <w:t>43</w:t>
            </w:r>
            <w:r>
              <w:rPr>
                <w:noProof/>
                <w:webHidden/>
              </w:rPr>
              <w:fldChar w:fldCharType="end"/>
            </w:r>
          </w:hyperlink>
        </w:p>
        <w:p w14:paraId="4E3C16A9" w14:textId="5EBFB53E" w:rsidR="006C29B6" w:rsidRDefault="006C29B6">
          <w:pPr>
            <w:pStyle w:val="TOC3"/>
            <w:tabs>
              <w:tab w:val="left" w:pos="1320"/>
              <w:tab w:val="right" w:leader="dot" w:pos="9350"/>
            </w:tabs>
            <w:rPr>
              <w:rFonts w:asciiTheme="minorHAnsi" w:eastAsiaTheme="minorEastAsia" w:hAnsiTheme="minorHAnsi"/>
              <w:noProof/>
              <w:szCs w:val="24"/>
            </w:rPr>
          </w:pPr>
          <w:hyperlink w:anchor="_Toc190242733" w:history="1">
            <w:r w:rsidRPr="00B37BB0">
              <w:rPr>
                <w:rStyle w:val="Hyperlink"/>
                <w:noProof/>
              </w:rPr>
              <w:t>6.2.1</w:t>
            </w:r>
            <w:r>
              <w:rPr>
                <w:rFonts w:asciiTheme="minorHAnsi" w:eastAsiaTheme="minorEastAsia" w:hAnsiTheme="minorHAnsi"/>
                <w:noProof/>
                <w:szCs w:val="24"/>
              </w:rPr>
              <w:tab/>
            </w:r>
            <w:r w:rsidRPr="00B37BB0">
              <w:rPr>
                <w:rStyle w:val="Hyperlink"/>
                <w:noProof/>
              </w:rPr>
              <w:t>Adjustments to Emission Factors</w:t>
            </w:r>
            <w:r>
              <w:rPr>
                <w:noProof/>
                <w:webHidden/>
              </w:rPr>
              <w:tab/>
            </w:r>
            <w:r>
              <w:rPr>
                <w:noProof/>
                <w:webHidden/>
              </w:rPr>
              <w:fldChar w:fldCharType="begin"/>
            </w:r>
            <w:r>
              <w:rPr>
                <w:noProof/>
                <w:webHidden/>
              </w:rPr>
              <w:instrText xml:space="preserve"> PAGEREF _Toc190242733 \h </w:instrText>
            </w:r>
            <w:r>
              <w:rPr>
                <w:noProof/>
                <w:webHidden/>
              </w:rPr>
            </w:r>
            <w:r>
              <w:rPr>
                <w:noProof/>
                <w:webHidden/>
              </w:rPr>
              <w:fldChar w:fldCharType="separate"/>
            </w:r>
            <w:r>
              <w:rPr>
                <w:noProof/>
                <w:webHidden/>
              </w:rPr>
              <w:t>43</w:t>
            </w:r>
            <w:r>
              <w:rPr>
                <w:noProof/>
                <w:webHidden/>
              </w:rPr>
              <w:fldChar w:fldCharType="end"/>
            </w:r>
          </w:hyperlink>
        </w:p>
        <w:p w14:paraId="723E3FFC" w14:textId="76164ABE" w:rsidR="006C29B6" w:rsidRDefault="006C29B6">
          <w:pPr>
            <w:pStyle w:val="TOC3"/>
            <w:tabs>
              <w:tab w:val="left" w:pos="1320"/>
              <w:tab w:val="right" w:leader="dot" w:pos="9350"/>
            </w:tabs>
            <w:rPr>
              <w:rFonts w:asciiTheme="minorHAnsi" w:eastAsiaTheme="minorEastAsia" w:hAnsiTheme="minorHAnsi"/>
              <w:noProof/>
              <w:szCs w:val="24"/>
            </w:rPr>
          </w:pPr>
          <w:hyperlink w:anchor="_Toc190242734" w:history="1">
            <w:r w:rsidRPr="00B37BB0">
              <w:rPr>
                <w:rStyle w:val="Hyperlink"/>
                <w:noProof/>
              </w:rPr>
              <w:t>6.2.2</w:t>
            </w:r>
            <w:r>
              <w:rPr>
                <w:rFonts w:asciiTheme="minorHAnsi" w:eastAsiaTheme="minorEastAsia" w:hAnsiTheme="minorHAnsi"/>
                <w:noProof/>
                <w:szCs w:val="24"/>
              </w:rPr>
              <w:tab/>
            </w:r>
            <w:r w:rsidRPr="00B37BB0">
              <w:rPr>
                <w:rStyle w:val="Hyperlink"/>
                <w:noProof/>
              </w:rPr>
              <w:t>MoSERS Projects</w:t>
            </w:r>
            <w:r>
              <w:rPr>
                <w:noProof/>
                <w:webHidden/>
              </w:rPr>
              <w:tab/>
            </w:r>
            <w:r>
              <w:rPr>
                <w:noProof/>
                <w:webHidden/>
              </w:rPr>
              <w:fldChar w:fldCharType="begin"/>
            </w:r>
            <w:r>
              <w:rPr>
                <w:noProof/>
                <w:webHidden/>
              </w:rPr>
              <w:instrText xml:space="preserve"> PAGEREF _Toc190242734 \h </w:instrText>
            </w:r>
            <w:r>
              <w:rPr>
                <w:noProof/>
                <w:webHidden/>
              </w:rPr>
            </w:r>
            <w:r>
              <w:rPr>
                <w:noProof/>
                <w:webHidden/>
              </w:rPr>
              <w:fldChar w:fldCharType="separate"/>
            </w:r>
            <w:r>
              <w:rPr>
                <w:noProof/>
                <w:webHidden/>
              </w:rPr>
              <w:t>43</w:t>
            </w:r>
            <w:r>
              <w:rPr>
                <w:noProof/>
                <w:webHidden/>
              </w:rPr>
              <w:fldChar w:fldCharType="end"/>
            </w:r>
          </w:hyperlink>
        </w:p>
        <w:p w14:paraId="5929AAA5" w14:textId="0357BBC1" w:rsidR="006C29B6" w:rsidRDefault="006C29B6">
          <w:pPr>
            <w:pStyle w:val="TOC2"/>
            <w:tabs>
              <w:tab w:val="left" w:pos="880"/>
              <w:tab w:val="right" w:leader="dot" w:pos="9350"/>
            </w:tabs>
            <w:rPr>
              <w:rFonts w:asciiTheme="minorHAnsi" w:eastAsiaTheme="minorEastAsia" w:hAnsiTheme="minorHAnsi"/>
              <w:noProof/>
              <w:szCs w:val="24"/>
            </w:rPr>
          </w:pPr>
          <w:hyperlink w:anchor="_Toc190242735" w:history="1">
            <w:r w:rsidRPr="00B37BB0">
              <w:rPr>
                <w:rStyle w:val="Hyperlink"/>
                <w:noProof/>
              </w:rPr>
              <w:t>6.3</w:t>
            </w:r>
            <w:r>
              <w:rPr>
                <w:rFonts w:asciiTheme="minorHAnsi" w:eastAsiaTheme="minorEastAsia" w:hAnsiTheme="minorHAnsi"/>
                <w:noProof/>
                <w:szCs w:val="24"/>
              </w:rPr>
              <w:tab/>
            </w:r>
            <w:r w:rsidRPr="00B37BB0">
              <w:rPr>
                <w:rStyle w:val="Hyperlink"/>
                <w:noProof/>
              </w:rPr>
              <w:t>Final Analysis Results</w:t>
            </w:r>
            <w:r>
              <w:rPr>
                <w:noProof/>
                <w:webHidden/>
              </w:rPr>
              <w:tab/>
            </w:r>
            <w:r>
              <w:rPr>
                <w:noProof/>
                <w:webHidden/>
              </w:rPr>
              <w:fldChar w:fldCharType="begin"/>
            </w:r>
            <w:r>
              <w:rPr>
                <w:noProof/>
                <w:webHidden/>
              </w:rPr>
              <w:instrText xml:space="preserve"> PAGEREF _Toc190242735 \h </w:instrText>
            </w:r>
            <w:r>
              <w:rPr>
                <w:noProof/>
                <w:webHidden/>
              </w:rPr>
            </w:r>
            <w:r>
              <w:rPr>
                <w:noProof/>
                <w:webHidden/>
              </w:rPr>
              <w:fldChar w:fldCharType="separate"/>
            </w:r>
            <w:r>
              <w:rPr>
                <w:noProof/>
                <w:webHidden/>
              </w:rPr>
              <w:t>44</w:t>
            </w:r>
            <w:r>
              <w:rPr>
                <w:noProof/>
                <w:webHidden/>
              </w:rPr>
              <w:fldChar w:fldCharType="end"/>
            </w:r>
          </w:hyperlink>
        </w:p>
        <w:p w14:paraId="2E845EC6" w14:textId="424D423F" w:rsidR="006C29B6" w:rsidRDefault="006C29B6">
          <w:pPr>
            <w:pStyle w:val="TOC1"/>
            <w:tabs>
              <w:tab w:val="left" w:pos="480"/>
              <w:tab w:val="right" w:leader="dot" w:pos="9350"/>
            </w:tabs>
            <w:rPr>
              <w:rFonts w:asciiTheme="minorHAnsi" w:eastAsiaTheme="minorEastAsia" w:hAnsiTheme="minorHAnsi"/>
              <w:noProof/>
              <w:szCs w:val="24"/>
            </w:rPr>
          </w:pPr>
          <w:hyperlink w:anchor="_Toc190242736" w:history="1">
            <w:r w:rsidRPr="00B37BB0">
              <w:rPr>
                <w:rStyle w:val="Hyperlink"/>
                <w:noProof/>
              </w:rPr>
              <w:t>7.</w:t>
            </w:r>
            <w:r>
              <w:rPr>
                <w:rFonts w:asciiTheme="minorHAnsi" w:eastAsiaTheme="minorEastAsia" w:hAnsiTheme="minorHAnsi"/>
                <w:noProof/>
                <w:szCs w:val="24"/>
              </w:rPr>
              <w:tab/>
            </w:r>
            <w:r w:rsidRPr="00B37BB0">
              <w:rPr>
                <w:rStyle w:val="Hyperlink"/>
                <w:noProof/>
              </w:rPr>
              <w:t>Interagency Consultation</w:t>
            </w:r>
            <w:r>
              <w:rPr>
                <w:noProof/>
                <w:webHidden/>
              </w:rPr>
              <w:tab/>
            </w:r>
            <w:r>
              <w:rPr>
                <w:noProof/>
                <w:webHidden/>
              </w:rPr>
              <w:fldChar w:fldCharType="begin"/>
            </w:r>
            <w:r>
              <w:rPr>
                <w:noProof/>
                <w:webHidden/>
              </w:rPr>
              <w:instrText xml:space="preserve"> PAGEREF _Toc190242736 \h </w:instrText>
            </w:r>
            <w:r>
              <w:rPr>
                <w:noProof/>
                <w:webHidden/>
              </w:rPr>
            </w:r>
            <w:r>
              <w:rPr>
                <w:noProof/>
                <w:webHidden/>
              </w:rPr>
              <w:fldChar w:fldCharType="separate"/>
            </w:r>
            <w:r>
              <w:rPr>
                <w:noProof/>
                <w:webHidden/>
              </w:rPr>
              <w:t>46</w:t>
            </w:r>
            <w:r>
              <w:rPr>
                <w:noProof/>
                <w:webHidden/>
              </w:rPr>
              <w:fldChar w:fldCharType="end"/>
            </w:r>
          </w:hyperlink>
        </w:p>
        <w:p w14:paraId="27349BD0" w14:textId="4E3814ED" w:rsidR="006C29B6" w:rsidRDefault="006C29B6">
          <w:pPr>
            <w:pStyle w:val="TOC1"/>
            <w:tabs>
              <w:tab w:val="left" w:pos="480"/>
              <w:tab w:val="right" w:leader="dot" w:pos="9350"/>
            </w:tabs>
            <w:rPr>
              <w:rFonts w:asciiTheme="minorHAnsi" w:eastAsiaTheme="minorEastAsia" w:hAnsiTheme="minorHAnsi"/>
              <w:noProof/>
              <w:szCs w:val="24"/>
            </w:rPr>
          </w:pPr>
          <w:hyperlink w:anchor="_Toc190242737" w:history="1">
            <w:r w:rsidRPr="00B37BB0">
              <w:rPr>
                <w:rStyle w:val="Hyperlink"/>
                <w:noProof/>
              </w:rPr>
              <w:t>8.</w:t>
            </w:r>
            <w:r>
              <w:rPr>
                <w:rFonts w:asciiTheme="minorHAnsi" w:eastAsiaTheme="minorEastAsia" w:hAnsiTheme="minorHAnsi"/>
                <w:noProof/>
                <w:szCs w:val="24"/>
              </w:rPr>
              <w:tab/>
            </w:r>
            <w:r w:rsidRPr="00B37BB0">
              <w:rPr>
                <w:rStyle w:val="Hyperlink"/>
                <w:noProof/>
              </w:rPr>
              <w:t>Public Involvement</w:t>
            </w:r>
            <w:r>
              <w:rPr>
                <w:noProof/>
                <w:webHidden/>
              </w:rPr>
              <w:tab/>
            </w:r>
            <w:r>
              <w:rPr>
                <w:noProof/>
                <w:webHidden/>
              </w:rPr>
              <w:fldChar w:fldCharType="begin"/>
            </w:r>
            <w:r>
              <w:rPr>
                <w:noProof/>
                <w:webHidden/>
              </w:rPr>
              <w:instrText xml:space="preserve"> PAGEREF _Toc190242737 \h </w:instrText>
            </w:r>
            <w:r>
              <w:rPr>
                <w:noProof/>
                <w:webHidden/>
              </w:rPr>
            </w:r>
            <w:r>
              <w:rPr>
                <w:noProof/>
                <w:webHidden/>
              </w:rPr>
              <w:fldChar w:fldCharType="separate"/>
            </w:r>
            <w:r>
              <w:rPr>
                <w:noProof/>
                <w:webHidden/>
              </w:rPr>
              <w:t>47</w:t>
            </w:r>
            <w:r>
              <w:rPr>
                <w:noProof/>
                <w:webHidden/>
              </w:rPr>
              <w:fldChar w:fldCharType="end"/>
            </w:r>
          </w:hyperlink>
        </w:p>
        <w:p w14:paraId="284A31C9" w14:textId="4F7ECD58" w:rsidR="006C29B6" w:rsidRDefault="006C29B6">
          <w:pPr>
            <w:pStyle w:val="TOC1"/>
            <w:tabs>
              <w:tab w:val="right" w:leader="dot" w:pos="9350"/>
            </w:tabs>
            <w:rPr>
              <w:rFonts w:asciiTheme="minorHAnsi" w:eastAsiaTheme="minorEastAsia" w:hAnsiTheme="minorHAnsi"/>
              <w:noProof/>
              <w:szCs w:val="24"/>
            </w:rPr>
          </w:pPr>
          <w:hyperlink w:anchor="_Toc190242738" w:history="1">
            <w:r w:rsidRPr="00B37BB0">
              <w:rPr>
                <w:rStyle w:val="Hyperlink"/>
                <w:noProof/>
              </w:rPr>
              <w:t>Appendix A—Resolution of Adoption</w:t>
            </w:r>
            <w:r>
              <w:rPr>
                <w:noProof/>
                <w:webHidden/>
              </w:rPr>
              <w:tab/>
            </w:r>
            <w:r>
              <w:rPr>
                <w:noProof/>
                <w:webHidden/>
              </w:rPr>
              <w:fldChar w:fldCharType="begin"/>
            </w:r>
            <w:r>
              <w:rPr>
                <w:noProof/>
                <w:webHidden/>
              </w:rPr>
              <w:instrText xml:space="preserve"> PAGEREF _Toc190242738 \h </w:instrText>
            </w:r>
            <w:r>
              <w:rPr>
                <w:noProof/>
                <w:webHidden/>
              </w:rPr>
            </w:r>
            <w:r>
              <w:rPr>
                <w:noProof/>
                <w:webHidden/>
              </w:rPr>
              <w:fldChar w:fldCharType="separate"/>
            </w:r>
            <w:r>
              <w:rPr>
                <w:noProof/>
                <w:webHidden/>
              </w:rPr>
              <w:t>48</w:t>
            </w:r>
            <w:r>
              <w:rPr>
                <w:noProof/>
                <w:webHidden/>
              </w:rPr>
              <w:fldChar w:fldCharType="end"/>
            </w:r>
          </w:hyperlink>
        </w:p>
        <w:p w14:paraId="4164C0D7" w14:textId="1FBA8E86" w:rsidR="006C29B6" w:rsidRDefault="006C29B6">
          <w:pPr>
            <w:pStyle w:val="TOC1"/>
            <w:tabs>
              <w:tab w:val="right" w:leader="dot" w:pos="9350"/>
            </w:tabs>
            <w:rPr>
              <w:rFonts w:asciiTheme="minorHAnsi" w:eastAsiaTheme="minorEastAsia" w:hAnsiTheme="minorHAnsi"/>
              <w:noProof/>
              <w:szCs w:val="24"/>
            </w:rPr>
          </w:pPr>
          <w:hyperlink w:anchor="_Toc190242739" w:history="1">
            <w:r w:rsidRPr="00B37BB0">
              <w:rPr>
                <w:rStyle w:val="Hyperlink"/>
                <w:noProof/>
              </w:rPr>
              <w:t>Appendix B—RTP/MTP</w:t>
            </w:r>
            <w:r>
              <w:rPr>
                <w:noProof/>
                <w:webHidden/>
              </w:rPr>
              <w:tab/>
            </w:r>
            <w:r>
              <w:rPr>
                <w:noProof/>
                <w:webHidden/>
              </w:rPr>
              <w:fldChar w:fldCharType="begin"/>
            </w:r>
            <w:r>
              <w:rPr>
                <w:noProof/>
                <w:webHidden/>
              </w:rPr>
              <w:instrText xml:space="preserve"> PAGEREF _Toc190242739 \h </w:instrText>
            </w:r>
            <w:r>
              <w:rPr>
                <w:noProof/>
                <w:webHidden/>
              </w:rPr>
            </w:r>
            <w:r>
              <w:rPr>
                <w:noProof/>
                <w:webHidden/>
              </w:rPr>
              <w:fldChar w:fldCharType="separate"/>
            </w:r>
            <w:r>
              <w:rPr>
                <w:noProof/>
                <w:webHidden/>
              </w:rPr>
              <w:t>49</w:t>
            </w:r>
            <w:r>
              <w:rPr>
                <w:noProof/>
                <w:webHidden/>
              </w:rPr>
              <w:fldChar w:fldCharType="end"/>
            </w:r>
          </w:hyperlink>
        </w:p>
        <w:p w14:paraId="5146C342" w14:textId="362BB7C9" w:rsidR="006C29B6" w:rsidRDefault="006C29B6">
          <w:pPr>
            <w:pStyle w:val="TOC2"/>
            <w:tabs>
              <w:tab w:val="right" w:leader="dot" w:pos="9350"/>
            </w:tabs>
            <w:rPr>
              <w:rFonts w:asciiTheme="minorHAnsi" w:eastAsiaTheme="minorEastAsia" w:hAnsiTheme="minorHAnsi"/>
              <w:noProof/>
              <w:szCs w:val="24"/>
            </w:rPr>
          </w:pPr>
          <w:hyperlink w:anchor="_Toc190242740" w:history="1">
            <w:r w:rsidRPr="00B37BB0">
              <w:rPr>
                <w:rStyle w:val="Hyperlink"/>
                <w:noProof/>
              </w:rPr>
              <w:t>B.1 Project Listings</w:t>
            </w:r>
            <w:r>
              <w:rPr>
                <w:noProof/>
                <w:webHidden/>
              </w:rPr>
              <w:tab/>
            </w:r>
            <w:r>
              <w:rPr>
                <w:noProof/>
                <w:webHidden/>
              </w:rPr>
              <w:fldChar w:fldCharType="begin"/>
            </w:r>
            <w:r>
              <w:rPr>
                <w:noProof/>
                <w:webHidden/>
              </w:rPr>
              <w:instrText xml:space="preserve"> PAGEREF _Toc190242740 \h </w:instrText>
            </w:r>
            <w:r>
              <w:rPr>
                <w:noProof/>
                <w:webHidden/>
              </w:rPr>
            </w:r>
            <w:r>
              <w:rPr>
                <w:noProof/>
                <w:webHidden/>
              </w:rPr>
              <w:fldChar w:fldCharType="separate"/>
            </w:r>
            <w:r>
              <w:rPr>
                <w:noProof/>
                <w:webHidden/>
              </w:rPr>
              <w:t>49</w:t>
            </w:r>
            <w:r>
              <w:rPr>
                <w:noProof/>
                <w:webHidden/>
              </w:rPr>
              <w:fldChar w:fldCharType="end"/>
            </w:r>
          </w:hyperlink>
        </w:p>
        <w:p w14:paraId="22BD9BF0" w14:textId="481A00F2" w:rsidR="006C29B6" w:rsidRDefault="006C29B6">
          <w:pPr>
            <w:pStyle w:val="TOC1"/>
            <w:tabs>
              <w:tab w:val="right" w:leader="dot" w:pos="9350"/>
            </w:tabs>
            <w:rPr>
              <w:rFonts w:asciiTheme="minorHAnsi" w:eastAsiaTheme="minorEastAsia" w:hAnsiTheme="minorHAnsi"/>
              <w:noProof/>
              <w:szCs w:val="24"/>
            </w:rPr>
          </w:pPr>
          <w:hyperlink w:anchor="_Toc190242741" w:history="1">
            <w:r w:rsidRPr="00B37BB0">
              <w:rPr>
                <w:rStyle w:val="Hyperlink"/>
                <w:noProof/>
              </w:rPr>
              <w:t>Appendix C—Transportation Modeling System</w:t>
            </w:r>
            <w:r>
              <w:rPr>
                <w:noProof/>
                <w:webHidden/>
              </w:rPr>
              <w:tab/>
            </w:r>
            <w:r>
              <w:rPr>
                <w:noProof/>
                <w:webHidden/>
              </w:rPr>
              <w:fldChar w:fldCharType="begin"/>
            </w:r>
            <w:r>
              <w:rPr>
                <w:noProof/>
                <w:webHidden/>
              </w:rPr>
              <w:instrText xml:space="preserve"> PAGEREF _Toc190242741 \h </w:instrText>
            </w:r>
            <w:r>
              <w:rPr>
                <w:noProof/>
                <w:webHidden/>
              </w:rPr>
            </w:r>
            <w:r>
              <w:rPr>
                <w:noProof/>
                <w:webHidden/>
              </w:rPr>
              <w:fldChar w:fldCharType="separate"/>
            </w:r>
            <w:r>
              <w:rPr>
                <w:noProof/>
                <w:webHidden/>
              </w:rPr>
              <w:t>50</w:t>
            </w:r>
            <w:r>
              <w:rPr>
                <w:noProof/>
                <w:webHidden/>
              </w:rPr>
              <w:fldChar w:fldCharType="end"/>
            </w:r>
          </w:hyperlink>
        </w:p>
        <w:p w14:paraId="5F13FB4F" w14:textId="5C162B14" w:rsidR="006C29B6" w:rsidRDefault="006C29B6">
          <w:pPr>
            <w:pStyle w:val="TOC2"/>
            <w:tabs>
              <w:tab w:val="right" w:leader="dot" w:pos="9350"/>
            </w:tabs>
            <w:rPr>
              <w:rFonts w:asciiTheme="minorHAnsi" w:eastAsiaTheme="minorEastAsia" w:hAnsiTheme="minorHAnsi"/>
              <w:noProof/>
              <w:szCs w:val="24"/>
            </w:rPr>
          </w:pPr>
          <w:hyperlink w:anchor="_Toc190242742" w:history="1">
            <w:r w:rsidRPr="00B37BB0">
              <w:rPr>
                <w:rStyle w:val="Hyperlink"/>
                <w:noProof/>
              </w:rPr>
              <w:t>C.1 Travel Model Validation</w:t>
            </w:r>
            <w:r>
              <w:rPr>
                <w:noProof/>
                <w:webHidden/>
              </w:rPr>
              <w:tab/>
            </w:r>
            <w:r>
              <w:rPr>
                <w:noProof/>
                <w:webHidden/>
              </w:rPr>
              <w:fldChar w:fldCharType="begin"/>
            </w:r>
            <w:r>
              <w:rPr>
                <w:noProof/>
                <w:webHidden/>
              </w:rPr>
              <w:instrText xml:space="preserve"> PAGEREF _Toc190242742 \h </w:instrText>
            </w:r>
            <w:r>
              <w:rPr>
                <w:noProof/>
                <w:webHidden/>
              </w:rPr>
            </w:r>
            <w:r>
              <w:rPr>
                <w:noProof/>
                <w:webHidden/>
              </w:rPr>
              <w:fldChar w:fldCharType="separate"/>
            </w:r>
            <w:r>
              <w:rPr>
                <w:noProof/>
                <w:webHidden/>
              </w:rPr>
              <w:t>50</w:t>
            </w:r>
            <w:r>
              <w:rPr>
                <w:noProof/>
                <w:webHidden/>
              </w:rPr>
              <w:fldChar w:fldCharType="end"/>
            </w:r>
          </w:hyperlink>
        </w:p>
        <w:p w14:paraId="1C9CFD96" w14:textId="40084B63" w:rsidR="006C29B6" w:rsidRDefault="006C29B6">
          <w:pPr>
            <w:pStyle w:val="TOC2"/>
            <w:tabs>
              <w:tab w:val="right" w:leader="dot" w:pos="9350"/>
            </w:tabs>
            <w:rPr>
              <w:rFonts w:asciiTheme="minorHAnsi" w:eastAsiaTheme="minorEastAsia" w:hAnsiTheme="minorHAnsi"/>
              <w:noProof/>
              <w:szCs w:val="24"/>
            </w:rPr>
          </w:pPr>
          <w:hyperlink w:anchor="_Toc190242743" w:history="1">
            <w:r w:rsidRPr="00B37BB0">
              <w:rPr>
                <w:rStyle w:val="Hyperlink"/>
                <w:noProof/>
              </w:rPr>
              <w:t>C.2 Links, Miles, Centerline, and Lane Miles Summaries</w:t>
            </w:r>
            <w:r>
              <w:rPr>
                <w:noProof/>
                <w:webHidden/>
              </w:rPr>
              <w:tab/>
            </w:r>
            <w:r>
              <w:rPr>
                <w:noProof/>
                <w:webHidden/>
              </w:rPr>
              <w:fldChar w:fldCharType="begin"/>
            </w:r>
            <w:r>
              <w:rPr>
                <w:noProof/>
                <w:webHidden/>
              </w:rPr>
              <w:instrText xml:space="preserve"> PAGEREF _Toc190242743 \h </w:instrText>
            </w:r>
            <w:r>
              <w:rPr>
                <w:noProof/>
                <w:webHidden/>
              </w:rPr>
            </w:r>
            <w:r>
              <w:rPr>
                <w:noProof/>
                <w:webHidden/>
              </w:rPr>
              <w:fldChar w:fldCharType="separate"/>
            </w:r>
            <w:r>
              <w:rPr>
                <w:noProof/>
                <w:webHidden/>
              </w:rPr>
              <w:t>50</w:t>
            </w:r>
            <w:r>
              <w:rPr>
                <w:noProof/>
                <w:webHidden/>
              </w:rPr>
              <w:fldChar w:fldCharType="end"/>
            </w:r>
          </w:hyperlink>
        </w:p>
        <w:p w14:paraId="4DB92EF2" w14:textId="06B19124" w:rsidR="006C29B6" w:rsidRDefault="006C29B6">
          <w:pPr>
            <w:pStyle w:val="TOC2"/>
            <w:tabs>
              <w:tab w:val="right" w:leader="dot" w:pos="9350"/>
            </w:tabs>
            <w:rPr>
              <w:rFonts w:asciiTheme="minorHAnsi" w:eastAsiaTheme="minorEastAsia" w:hAnsiTheme="minorHAnsi"/>
              <w:noProof/>
              <w:szCs w:val="24"/>
            </w:rPr>
          </w:pPr>
          <w:hyperlink w:anchor="_Toc190242744" w:history="1">
            <w:r w:rsidRPr="00B37BB0">
              <w:rPr>
                <w:rStyle w:val="Hyperlink"/>
                <w:noProof/>
              </w:rPr>
              <w:t>C.3 Link Listing and Capacity Staging</w:t>
            </w:r>
            <w:r>
              <w:rPr>
                <w:noProof/>
                <w:webHidden/>
              </w:rPr>
              <w:tab/>
            </w:r>
            <w:r>
              <w:rPr>
                <w:noProof/>
                <w:webHidden/>
              </w:rPr>
              <w:fldChar w:fldCharType="begin"/>
            </w:r>
            <w:r>
              <w:rPr>
                <w:noProof/>
                <w:webHidden/>
              </w:rPr>
              <w:instrText xml:space="preserve"> PAGEREF _Toc190242744 \h </w:instrText>
            </w:r>
            <w:r>
              <w:rPr>
                <w:noProof/>
                <w:webHidden/>
              </w:rPr>
            </w:r>
            <w:r>
              <w:rPr>
                <w:noProof/>
                <w:webHidden/>
              </w:rPr>
              <w:fldChar w:fldCharType="separate"/>
            </w:r>
            <w:r>
              <w:rPr>
                <w:noProof/>
                <w:webHidden/>
              </w:rPr>
              <w:t>50</w:t>
            </w:r>
            <w:r>
              <w:rPr>
                <w:noProof/>
                <w:webHidden/>
              </w:rPr>
              <w:fldChar w:fldCharType="end"/>
            </w:r>
          </w:hyperlink>
        </w:p>
        <w:p w14:paraId="544AD061" w14:textId="1A5A96AD" w:rsidR="006C29B6" w:rsidRDefault="006C29B6">
          <w:pPr>
            <w:pStyle w:val="TOC2"/>
            <w:tabs>
              <w:tab w:val="right" w:leader="dot" w:pos="9350"/>
            </w:tabs>
            <w:rPr>
              <w:rFonts w:asciiTheme="minorHAnsi" w:eastAsiaTheme="minorEastAsia" w:hAnsiTheme="minorHAnsi"/>
              <w:noProof/>
              <w:szCs w:val="24"/>
            </w:rPr>
          </w:pPr>
          <w:hyperlink w:anchor="_Toc190242745" w:history="1">
            <w:r w:rsidRPr="00B37BB0">
              <w:rPr>
                <w:rStyle w:val="Hyperlink"/>
                <w:noProof/>
              </w:rPr>
              <w:t>C.4 Roadway Network Files</w:t>
            </w:r>
            <w:r>
              <w:rPr>
                <w:noProof/>
                <w:webHidden/>
              </w:rPr>
              <w:tab/>
            </w:r>
            <w:r>
              <w:rPr>
                <w:noProof/>
                <w:webHidden/>
              </w:rPr>
              <w:fldChar w:fldCharType="begin"/>
            </w:r>
            <w:r>
              <w:rPr>
                <w:noProof/>
                <w:webHidden/>
              </w:rPr>
              <w:instrText xml:space="preserve"> PAGEREF _Toc190242745 \h </w:instrText>
            </w:r>
            <w:r>
              <w:rPr>
                <w:noProof/>
                <w:webHidden/>
              </w:rPr>
            </w:r>
            <w:r>
              <w:rPr>
                <w:noProof/>
                <w:webHidden/>
              </w:rPr>
              <w:fldChar w:fldCharType="separate"/>
            </w:r>
            <w:r>
              <w:rPr>
                <w:noProof/>
                <w:webHidden/>
              </w:rPr>
              <w:t>50</w:t>
            </w:r>
            <w:r>
              <w:rPr>
                <w:noProof/>
                <w:webHidden/>
              </w:rPr>
              <w:fldChar w:fldCharType="end"/>
            </w:r>
          </w:hyperlink>
        </w:p>
        <w:p w14:paraId="55290A9B" w14:textId="1FE38A91" w:rsidR="006C29B6" w:rsidRDefault="006C29B6">
          <w:pPr>
            <w:pStyle w:val="TOC1"/>
            <w:tabs>
              <w:tab w:val="right" w:leader="dot" w:pos="9350"/>
            </w:tabs>
            <w:rPr>
              <w:rFonts w:asciiTheme="minorHAnsi" w:eastAsiaTheme="minorEastAsia" w:hAnsiTheme="minorHAnsi"/>
              <w:noProof/>
              <w:szCs w:val="24"/>
            </w:rPr>
          </w:pPr>
          <w:hyperlink w:anchor="_Toc190242746" w:history="1">
            <w:r w:rsidRPr="00B37BB0">
              <w:rPr>
                <w:rStyle w:val="Hyperlink"/>
                <w:noProof/>
              </w:rPr>
              <w:t>Appendix D—Emissions Modeling Information</w:t>
            </w:r>
            <w:r>
              <w:rPr>
                <w:noProof/>
                <w:webHidden/>
              </w:rPr>
              <w:tab/>
            </w:r>
            <w:r>
              <w:rPr>
                <w:noProof/>
                <w:webHidden/>
              </w:rPr>
              <w:fldChar w:fldCharType="begin"/>
            </w:r>
            <w:r>
              <w:rPr>
                <w:noProof/>
                <w:webHidden/>
              </w:rPr>
              <w:instrText xml:space="preserve"> PAGEREF _Toc190242746 \h </w:instrText>
            </w:r>
            <w:r>
              <w:rPr>
                <w:noProof/>
                <w:webHidden/>
              </w:rPr>
            </w:r>
            <w:r>
              <w:rPr>
                <w:noProof/>
                <w:webHidden/>
              </w:rPr>
              <w:fldChar w:fldCharType="separate"/>
            </w:r>
            <w:r>
              <w:rPr>
                <w:noProof/>
                <w:webHidden/>
              </w:rPr>
              <w:t>51</w:t>
            </w:r>
            <w:r>
              <w:rPr>
                <w:noProof/>
                <w:webHidden/>
              </w:rPr>
              <w:fldChar w:fldCharType="end"/>
            </w:r>
          </w:hyperlink>
        </w:p>
        <w:p w14:paraId="2288AF55" w14:textId="4F802708" w:rsidR="006C29B6" w:rsidRDefault="006C29B6">
          <w:pPr>
            <w:pStyle w:val="TOC2"/>
            <w:tabs>
              <w:tab w:val="right" w:leader="dot" w:pos="9350"/>
            </w:tabs>
            <w:rPr>
              <w:rFonts w:asciiTheme="minorHAnsi" w:eastAsiaTheme="minorEastAsia" w:hAnsiTheme="minorHAnsi"/>
              <w:noProof/>
              <w:szCs w:val="24"/>
            </w:rPr>
          </w:pPr>
          <w:hyperlink w:anchor="_Toc190242747" w:history="1">
            <w:r w:rsidRPr="00B37BB0">
              <w:rPr>
                <w:rStyle w:val="Hyperlink"/>
                <w:noProof/>
              </w:rPr>
              <w:t>D.1 MOVES Input and Output</w:t>
            </w:r>
            <w:r>
              <w:rPr>
                <w:noProof/>
                <w:webHidden/>
              </w:rPr>
              <w:tab/>
            </w:r>
            <w:r>
              <w:rPr>
                <w:noProof/>
                <w:webHidden/>
              </w:rPr>
              <w:fldChar w:fldCharType="begin"/>
            </w:r>
            <w:r>
              <w:rPr>
                <w:noProof/>
                <w:webHidden/>
              </w:rPr>
              <w:instrText xml:space="preserve"> PAGEREF _Toc190242747 \h </w:instrText>
            </w:r>
            <w:r>
              <w:rPr>
                <w:noProof/>
                <w:webHidden/>
              </w:rPr>
            </w:r>
            <w:r>
              <w:rPr>
                <w:noProof/>
                <w:webHidden/>
              </w:rPr>
              <w:fldChar w:fldCharType="separate"/>
            </w:r>
            <w:r>
              <w:rPr>
                <w:noProof/>
                <w:webHidden/>
              </w:rPr>
              <w:t>51</w:t>
            </w:r>
            <w:r>
              <w:rPr>
                <w:noProof/>
                <w:webHidden/>
              </w:rPr>
              <w:fldChar w:fldCharType="end"/>
            </w:r>
          </w:hyperlink>
        </w:p>
        <w:p w14:paraId="70BB0D3E" w14:textId="11159276" w:rsidR="006C29B6" w:rsidRDefault="006C29B6">
          <w:pPr>
            <w:pStyle w:val="TOC2"/>
            <w:tabs>
              <w:tab w:val="right" w:leader="dot" w:pos="9350"/>
            </w:tabs>
            <w:rPr>
              <w:rFonts w:asciiTheme="minorHAnsi" w:eastAsiaTheme="minorEastAsia" w:hAnsiTheme="minorHAnsi"/>
              <w:noProof/>
              <w:szCs w:val="24"/>
            </w:rPr>
          </w:pPr>
          <w:hyperlink w:anchor="_Toc190242748" w:history="1">
            <w:r w:rsidRPr="00B37BB0">
              <w:rPr>
                <w:rStyle w:val="Hyperlink"/>
                <w:noProof/>
              </w:rPr>
              <w:t>D.2 MOVES Emission Factors</w:t>
            </w:r>
            <w:r>
              <w:rPr>
                <w:noProof/>
                <w:webHidden/>
              </w:rPr>
              <w:tab/>
            </w:r>
            <w:r>
              <w:rPr>
                <w:noProof/>
                <w:webHidden/>
              </w:rPr>
              <w:fldChar w:fldCharType="begin"/>
            </w:r>
            <w:r>
              <w:rPr>
                <w:noProof/>
                <w:webHidden/>
              </w:rPr>
              <w:instrText xml:space="preserve"> PAGEREF _Toc190242748 \h </w:instrText>
            </w:r>
            <w:r>
              <w:rPr>
                <w:noProof/>
                <w:webHidden/>
              </w:rPr>
            </w:r>
            <w:r>
              <w:rPr>
                <w:noProof/>
                <w:webHidden/>
              </w:rPr>
              <w:fldChar w:fldCharType="separate"/>
            </w:r>
            <w:r>
              <w:rPr>
                <w:noProof/>
                <w:webHidden/>
              </w:rPr>
              <w:t>51</w:t>
            </w:r>
            <w:r>
              <w:rPr>
                <w:noProof/>
                <w:webHidden/>
              </w:rPr>
              <w:fldChar w:fldCharType="end"/>
            </w:r>
          </w:hyperlink>
        </w:p>
        <w:p w14:paraId="52F7FAA9" w14:textId="59451966" w:rsidR="006C29B6" w:rsidRDefault="006C29B6">
          <w:pPr>
            <w:pStyle w:val="TOC2"/>
            <w:tabs>
              <w:tab w:val="right" w:leader="dot" w:pos="9350"/>
            </w:tabs>
            <w:rPr>
              <w:rFonts w:asciiTheme="minorHAnsi" w:eastAsiaTheme="minorEastAsia" w:hAnsiTheme="minorHAnsi"/>
              <w:noProof/>
              <w:szCs w:val="24"/>
            </w:rPr>
          </w:pPr>
          <w:hyperlink w:anchor="_Toc190242749" w:history="1">
            <w:r w:rsidRPr="00B37BB0">
              <w:rPr>
                <w:rStyle w:val="Hyperlink"/>
                <w:noProof/>
              </w:rPr>
              <w:t>D.3 Activities</w:t>
            </w:r>
            <w:r>
              <w:rPr>
                <w:noProof/>
                <w:webHidden/>
              </w:rPr>
              <w:tab/>
            </w:r>
            <w:r>
              <w:rPr>
                <w:noProof/>
                <w:webHidden/>
              </w:rPr>
              <w:fldChar w:fldCharType="begin"/>
            </w:r>
            <w:r>
              <w:rPr>
                <w:noProof/>
                <w:webHidden/>
              </w:rPr>
              <w:instrText xml:space="preserve"> PAGEREF _Toc190242749 \h </w:instrText>
            </w:r>
            <w:r>
              <w:rPr>
                <w:noProof/>
                <w:webHidden/>
              </w:rPr>
            </w:r>
            <w:r>
              <w:rPr>
                <w:noProof/>
                <w:webHidden/>
              </w:rPr>
              <w:fldChar w:fldCharType="separate"/>
            </w:r>
            <w:r>
              <w:rPr>
                <w:noProof/>
                <w:webHidden/>
              </w:rPr>
              <w:t>51</w:t>
            </w:r>
            <w:r>
              <w:rPr>
                <w:noProof/>
                <w:webHidden/>
              </w:rPr>
              <w:fldChar w:fldCharType="end"/>
            </w:r>
          </w:hyperlink>
        </w:p>
        <w:p w14:paraId="0E57F80B" w14:textId="3D5264BD" w:rsidR="006C29B6" w:rsidRDefault="006C29B6">
          <w:pPr>
            <w:pStyle w:val="TOC2"/>
            <w:tabs>
              <w:tab w:val="right" w:leader="dot" w:pos="9350"/>
            </w:tabs>
            <w:rPr>
              <w:rFonts w:asciiTheme="minorHAnsi" w:eastAsiaTheme="minorEastAsia" w:hAnsiTheme="minorHAnsi"/>
              <w:noProof/>
              <w:szCs w:val="24"/>
            </w:rPr>
          </w:pPr>
          <w:hyperlink w:anchor="_Toc190242750" w:history="1">
            <w:r w:rsidRPr="00B37BB0">
              <w:rPr>
                <w:rStyle w:val="Hyperlink"/>
                <w:noProof/>
              </w:rPr>
              <w:t>D.4 Emissions Modeling Utilities</w:t>
            </w:r>
            <w:r>
              <w:rPr>
                <w:noProof/>
                <w:webHidden/>
              </w:rPr>
              <w:tab/>
            </w:r>
            <w:r>
              <w:rPr>
                <w:noProof/>
                <w:webHidden/>
              </w:rPr>
              <w:fldChar w:fldCharType="begin"/>
            </w:r>
            <w:r>
              <w:rPr>
                <w:noProof/>
                <w:webHidden/>
              </w:rPr>
              <w:instrText xml:space="preserve"> PAGEREF _Toc190242750 \h </w:instrText>
            </w:r>
            <w:r>
              <w:rPr>
                <w:noProof/>
                <w:webHidden/>
              </w:rPr>
            </w:r>
            <w:r>
              <w:rPr>
                <w:noProof/>
                <w:webHidden/>
              </w:rPr>
              <w:fldChar w:fldCharType="separate"/>
            </w:r>
            <w:r>
              <w:rPr>
                <w:noProof/>
                <w:webHidden/>
              </w:rPr>
              <w:t>51</w:t>
            </w:r>
            <w:r>
              <w:rPr>
                <w:noProof/>
                <w:webHidden/>
              </w:rPr>
              <w:fldChar w:fldCharType="end"/>
            </w:r>
          </w:hyperlink>
        </w:p>
        <w:p w14:paraId="5FD37EE2" w14:textId="041F48A5" w:rsidR="006C29B6" w:rsidRDefault="006C29B6">
          <w:pPr>
            <w:pStyle w:val="TOC2"/>
            <w:tabs>
              <w:tab w:val="right" w:leader="dot" w:pos="9350"/>
            </w:tabs>
            <w:rPr>
              <w:rFonts w:asciiTheme="minorHAnsi" w:eastAsiaTheme="minorEastAsia" w:hAnsiTheme="minorHAnsi"/>
              <w:noProof/>
              <w:szCs w:val="24"/>
            </w:rPr>
          </w:pPr>
          <w:hyperlink w:anchor="_Toc190242751" w:history="1">
            <w:r w:rsidRPr="00B37BB0">
              <w:rPr>
                <w:rStyle w:val="Hyperlink"/>
                <w:noProof/>
              </w:rPr>
              <w:t>D.5 VMT, Speed, and Emissions Summaries</w:t>
            </w:r>
            <w:r>
              <w:rPr>
                <w:noProof/>
                <w:webHidden/>
              </w:rPr>
              <w:tab/>
            </w:r>
            <w:r>
              <w:rPr>
                <w:noProof/>
                <w:webHidden/>
              </w:rPr>
              <w:fldChar w:fldCharType="begin"/>
            </w:r>
            <w:r>
              <w:rPr>
                <w:noProof/>
                <w:webHidden/>
              </w:rPr>
              <w:instrText xml:space="preserve"> PAGEREF _Toc190242751 \h </w:instrText>
            </w:r>
            <w:r>
              <w:rPr>
                <w:noProof/>
                <w:webHidden/>
              </w:rPr>
            </w:r>
            <w:r>
              <w:rPr>
                <w:noProof/>
                <w:webHidden/>
              </w:rPr>
              <w:fldChar w:fldCharType="separate"/>
            </w:r>
            <w:r>
              <w:rPr>
                <w:noProof/>
                <w:webHidden/>
              </w:rPr>
              <w:t>51</w:t>
            </w:r>
            <w:r>
              <w:rPr>
                <w:noProof/>
                <w:webHidden/>
              </w:rPr>
              <w:fldChar w:fldCharType="end"/>
            </w:r>
          </w:hyperlink>
        </w:p>
        <w:p w14:paraId="4FB7897B" w14:textId="7270742A" w:rsidR="006C29B6" w:rsidRDefault="006C29B6">
          <w:pPr>
            <w:pStyle w:val="TOC1"/>
            <w:tabs>
              <w:tab w:val="right" w:leader="dot" w:pos="9350"/>
            </w:tabs>
            <w:rPr>
              <w:rFonts w:asciiTheme="minorHAnsi" w:eastAsiaTheme="minorEastAsia" w:hAnsiTheme="minorHAnsi"/>
              <w:noProof/>
              <w:szCs w:val="24"/>
            </w:rPr>
          </w:pPr>
          <w:hyperlink w:anchor="_Toc190242752" w:history="1">
            <w:r w:rsidRPr="00B37BB0">
              <w:rPr>
                <w:rStyle w:val="Hyperlink"/>
                <w:noProof/>
              </w:rPr>
              <w:t>Appendix E—Timely Implementation Documentation for TCM</w:t>
            </w:r>
            <w:r>
              <w:rPr>
                <w:noProof/>
                <w:webHidden/>
              </w:rPr>
              <w:tab/>
            </w:r>
            <w:r>
              <w:rPr>
                <w:noProof/>
                <w:webHidden/>
              </w:rPr>
              <w:fldChar w:fldCharType="begin"/>
            </w:r>
            <w:r>
              <w:rPr>
                <w:noProof/>
                <w:webHidden/>
              </w:rPr>
              <w:instrText xml:space="preserve"> PAGEREF _Toc190242752 \h </w:instrText>
            </w:r>
            <w:r>
              <w:rPr>
                <w:noProof/>
                <w:webHidden/>
              </w:rPr>
            </w:r>
            <w:r>
              <w:rPr>
                <w:noProof/>
                <w:webHidden/>
              </w:rPr>
              <w:fldChar w:fldCharType="separate"/>
            </w:r>
            <w:r>
              <w:rPr>
                <w:noProof/>
                <w:webHidden/>
              </w:rPr>
              <w:t>52</w:t>
            </w:r>
            <w:r>
              <w:rPr>
                <w:noProof/>
                <w:webHidden/>
              </w:rPr>
              <w:fldChar w:fldCharType="end"/>
            </w:r>
          </w:hyperlink>
        </w:p>
        <w:p w14:paraId="4F22044E" w14:textId="42AEC59D" w:rsidR="006C29B6" w:rsidRDefault="006C29B6">
          <w:pPr>
            <w:pStyle w:val="TOC2"/>
            <w:tabs>
              <w:tab w:val="right" w:leader="dot" w:pos="9350"/>
            </w:tabs>
            <w:rPr>
              <w:rFonts w:asciiTheme="minorHAnsi" w:eastAsiaTheme="minorEastAsia" w:hAnsiTheme="minorHAnsi"/>
              <w:noProof/>
              <w:szCs w:val="24"/>
            </w:rPr>
          </w:pPr>
          <w:hyperlink w:anchor="_Toc190242753" w:history="1">
            <w:r w:rsidRPr="00B37BB0">
              <w:rPr>
                <w:rStyle w:val="Hyperlink"/>
                <w:noProof/>
              </w:rPr>
              <w:t>E.1 MoSERS Methodology/Calculation Descriptions</w:t>
            </w:r>
            <w:r>
              <w:rPr>
                <w:noProof/>
                <w:webHidden/>
              </w:rPr>
              <w:tab/>
            </w:r>
            <w:r>
              <w:rPr>
                <w:noProof/>
                <w:webHidden/>
              </w:rPr>
              <w:fldChar w:fldCharType="begin"/>
            </w:r>
            <w:r>
              <w:rPr>
                <w:noProof/>
                <w:webHidden/>
              </w:rPr>
              <w:instrText xml:space="preserve"> PAGEREF _Toc190242753 \h </w:instrText>
            </w:r>
            <w:r>
              <w:rPr>
                <w:noProof/>
                <w:webHidden/>
              </w:rPr>
            </w:r>
            <w:r>
              <w:rPr>
                <w:noProof/>
                <w:webHidden/>
              </w:rPr>
              <w:fldChar w:fldCharType="separate"/>
            </w:r>
            <w:r>
              <w:rPr>
                <w:noProof/>
                <w:webHidden/>
              </w:rPr>
              <w:t>52</w:t>
            </w:r>
            <w:r>
              <w:rPr>
                <w:noProof/>
                <w:webHidden/>
              </w:rPr>
              <w:fldChar w:fldCharType="end"/>
            </w:r>
          </w:hyperlink>
        </w:p>
        <w:p w14:paraId="670C0F42" w14:textId="747EC584" w:rsidR="006C29B6" w:rsidRDefault="006C29B6">
          <w:pPr>
            <w:pStyle w:val="TOC2"/>
            <w:tabs>
              <w:tab w:val="right" w:leader="dot" w:pos="9350"/>
            </w:tabs>
            <w:rPr>
              <w:rFonts w:asciiTheme="minorHAnsi" w:eastAsiaTheme="minorEastAsia" w:hAnsiTheme="minorHAnsi"/>
              <w:noProof/>
              <w:szCs w:val="24"/>
            </w:rPr>
          </w:pPr>
          <w:hyperlink w:anchor="_Toc190242754" w:history="1">
            <w:r w:rsidRPr="00B37BB0">
              <w:rPr>
                <w:rStyle w:val="Hyperlink"/>
                <w:noProof/>
              </w:rPr>
              <w:t>E.2 MoSERS Project Listing</w:t>
            </w:r>
            <w:r>
              <w:rPr>
                <w:noProof/>
                <w:webHidden/>
              </w:rPr>
              <w:tab/>
            </w:r>
            <w:r>
              <w:rPr>
                <w:noProof/>
                <w:webHidden/>
              </w:rPr>
              <w:fldChar w:fldCharType="begin"/>
            </w:r>
            <w:r>
              <w:rPr>
                <w:noProof/>
                <w:webHidden/>
              </w:rPr>
              <w:instrText xml:space="preserve"> PAGEREF _Toc190242754 \h </w:instrText>
            </w:r>
            <w:r>
              <w:rPr>
                <w:noProof/>
                <w:webHidden/>
              </w:rPr>
            </w:r>
            <w:r>
              <w:rPr>
                <w:noProof/>
                <w:webHidden/>
              </w:rPr>
              <w:fldChar w:fldCharType="separate"/>
            </w:r>
            <w:r>
              <w:rPr>
                <w:noProof/>
                <w:webHidden/>
              </w:rPr>
              <w:t>52</w:t>
            </w:r>
            <w:r>
              <w:rPr>
                <w:noProof/>
                <w:webHidden/>
              </w:rPr>
              <w:fldChar w:fldCharType="end"/>
            </w:r>
          </w:hyperlink>
        </w:p>
        <w:p w14:paraId="54B23888" w14:textId="741EBEE2" w:rsidR="006C29B6" w:rsidRDefault="006C29B6">
          <w:pPr>
            <w:pStyle w:val="TOC2"/>
            <w:tabs>
              <w:tab w:val="right" w:leader="dot" w:pos="9350"/>
            </w:tabs>
            <w:rPr>
              <w:rFonts w:asciiTheme="minorHAnsi" w:eastAsiaTheme="minorEastAsia" w:hAnsiTheme="minorHAnsi"/>
              <w:noProof/>
              <w:szCs w:val="24"/>
            </w:rPr>
          </w:pPr>
          <w:hyperlink w:anchor="_Toc190242755" w:history="1">
            <w:r w:rsidRPr="00B37BB0">
              <w:rPr>
                <w:rStyle w:val="Hyperlink"/>
                <w:noProof/>
              </w:rPr>
              <w:t>E.3 CMAQ Project List</w:t>
            </w:r>
            <w:r>
              <w:rPr>
                <w:noProof/>
                <w:webHidden/>
              </w:rPr>
              <w:tab/>
            </w:r>
            <w:r>
              <w:rPr>
                <w:noProof/>
                <w:webHidden/>
              </w:rPr>
              <w:fldChar w:fldCharType="begin"/>
            </w:r>
            <w:r>
              <w:rPr>
                <w:noProof/>
                <w:webHidden/>
              </w:rPr>
              <w:instrText xml:space="preserve"> PAGEREF _Toc190242755 \h </w:instrText>
            </w:r>
            <w:r>
              <w:rPr>
                <w:noProof/>
                <w:webHidden/>
              </w:rPr>
            </w:r>
            <w:r>
              <w:rPr>
                <w:noProof/>
                <w:webHidden/>
              </w:rPr>
              <w:fldChar w:fldCharType="separate"/>
            </w:r>
            <w:r>
              <w:rPr>
                <w:noProof/>
                <w:webHidden/>
              </w:rPr>
              <w:t>52</w:t>
            </w:r>
            <w:r>
              <w:rPr>
                <w:noProof/>
                <w:webHidden/>
              </w:rPr>
              <w:fldChar w:fldCharType="end"/>
            </w:r>
          </w:hyperlink>
        </w:p>
        <w:p w14:paraId="542FA647" w14:textId="6BEF7042" w:rsidR="006C29B6" w:rsidRDefault="006C29B6">
          <w:pPr>
            <w:pStyle w:val="TOC1"/>
            <w:tabs>
              <w:tab w:val="right" w:leader="dot" w:pos="9350"/>
            </w:tabs>
            <w:rPr>
              <w:rFonts w:asciiTheme="minorHAnsi" w:eastAsiaTheme="minorEastAsia" w:hAnsiTheme="minorHAnsi"/>
              <w:noProof/>
              <w:szCs w:val="24"/>
            </w:rPr>
          </w:pPr>
          <w:hyperlink w:anchor="_Toc190242756" w:history="1">
            <w:r w:rsidRPr="00B37BB0">
              <w:rPr>
                <w:rStyle w:val="Hyperlink"/>
                <w:noProof/>
              </w:rPr>
              <w:t>Appendix F—Interagency Consultation Process</w:t>
            </w:r>
            <w:r>
              <w:rPr>
                <w:noProof/>
                <w:webHidden/>
              </w:rPr>
              <w:tab/>
            </w:r>
            <w:r>
              <w:rPr>
                <w:noProof/>
                <w:webHidden/>
              </w:rPr>
              <w:fldChar w:fldCharType="begin"/>
            </w:r>
            <w:r>
              <w:rPr>
                <w:noProof/>
                <w:webHidden/>
              </w:rPr>
              <w:instrText xml:space="preserve"> PAGEREF _Toc190242756 \h </w:instrText>
            </w:r>
            <w:r>
              <w:rPr>
                <w:noProof/>
                <w:webHidden/>
              </w:rPr>
            </w:r>
            <w:r>
              <w:rPr>
                <w:noProof/>
                <w:webHidden/>
              </w:rPr>
              <w:fldChar w:fldCharType="separate"/>
            </w:r>
            <w:r>
              <w:rPr>
                <w:noProof/>
                <w:webHidden/>
              </w:rPr>
              <w:t>53</w:t>
            </w:r>
            <w:r>
              <w:rPr>
                <w:noProof/>
                <w:webHidden/>
              </w:rPr>
              <w:fldChar w:fldCharType="end"/>
            </w:r>
          </w:hyperlink>
        </w:p>
        <w:p w14:paraId="430AC8B6" w14:textId="1F5B4B3A" w:rsidR="006C29B6" w:rsidRDefault="006C29B6">
          <w:pPr>
            <w:pStyle w:val="TOC2"/>
            <w:tabs>
              <w:tab w:val="right" w:leader="dot" w:pos="9350"/>
            </w:tabs>
            <w:rPr>
              <w:rFonts w:asciiTheme="minorHAnsi" w:eastAsiaTheme="minorEastAsia" w:hAnsiTheme="minorHAnsi"/>
              <w:noProof/>
              <w:szCs w:val="24"/>
            </w:rPr>
          </w:pPr>
          <w:hyperlink w:anchor="_Toc190242757" w:history="1">
            <w:r w:rsidRPr="00B37BB0">
              <w:rPr>
                <w:rStyle w:val="Hyperlink"/>
                <w:noProof/>
              </w:rPr>
              <w:t>F.1 Approved Pre-analysis Consensus Plan</w:t>
            </w:r>
            <w:r>
              <w:rPr>
                <w:noProof/>
                <w:webHidden/>
              </w:rPr>
              <w:tab/>
            </w:r>
            <w:r>
              <w:rPr>
                <w:noProof/>
                <w:webHidden/>
              </w:rPr>
              <w:fldChar w:fldCharType="begin"/>
            </w:r>
            <w:r>
              <w:rPr>
                <w:noProof/>
                <w:webHidden/>
              </w:rPr>
              <w:instrText xml:space="preserve"> PAGEREF _Toc190242757 \h </w:instrText>
            </w:r>
            <w:r>
              <w:rPr>
                <w:noProof/>
                <w:webHidden/>
              </w:rPr>
            </w:r>
            <w:r>
              <w:rPr>
                <w:noProof/>
                <w:webHidden/>
              </w:rPr>
              <w:fldChar w:fldCharType="separate"/>
            </w:r>
            <w:r>
              <w:rPr>
                <w:noProof/>
                <w:webHidden/>
              </w:rPr>
              <w:t>53</w:t>
            </w:r>
            <w:r>
              <w:rPr>
                <w:noProof/>
                <w:webHidden/>
              </w:rPr>
              <w:fldChar w:fldCharType="end"/>
            </w:r>
          </w:hyperlink>
        </w:p>
        <w:p w14:paraId="0FC2BC92" w14:textId="1C2866A8" w:rsidR="006C29B6" w:rsidRDefault="006C29B6">
          <w:pPr>
            <w:pStyle w:val="TOC2"/>
            <w:tabs>
              <w:tab w:val="right" w:leader="dot" w:pos="9350"/>
            </w:tabs>
            <w:rPr>
              <w:rFonts w:asciiTheme="minorHAnsi" w:eastAsiaTheme="minorEastAsia" w:hAnsiTheme="minorHAnsi"/>
              <w:noProof/>
              <w:szCs w:val="24"/>
            </w:rPr>
          </w:pPr>
          <w:hyperlink w:anchor="_Toc190242758" w:history="1">
            <w:r w:rsidRPr="00B37BB0">
              <w:rPr>
                <w:rStyle w:val="Hyperlink"/>
                <w:noProof/>
              </w:rPr>
              <w:t>F.2 Consultation Review and Meeting Summary</w:t>
            </w:r>
            <w:r>
              <w:rPr>
                <w:noProof/>
                <w:webHidden/>
              </w:rPr>
              <w:tab/>
            </w:r>
            <w:r>
              <w:rPr>
                <w:noProof/>
                <w:webHidden/>
              </w:rPr>
              <w:fldChar w:fldCharType="begin"/>
            </w:r>
            <w:r>
              <w:rPr>
                <w:noProof/>
                <w:webHidden/>
              </w:rPr>
              <w:instrText xml:space="preserve"> PAGEREF _Toc190242758 \h </w:instrText>
            </w:r>
            <w:r>
              <w:rPr>
                <w:noProof/>
                <w:webHidden/>
              </w:rPr>
            </w:r>
            <w:r>
              <w:rPr>
                <w:noProof/>
                <w:webHidden/>
              </w:rPr>
              <w:fldChar w:fldCharType="separate"/>
            </w:r>
            <w:r>
              <w:rPr>
                <w:noProof/>
                <w:webHidden/>
              </w:rPr>
              <w:t>53</w:t>
            </w:r>
            <w:r>
              <w:rPr>
                <w:noProof/>
                <w:webHidden/>
              </w:rPr>
              <w:fldChar w:fldCharType="end"/>
            </w:r>
          </w:hyperlink>
        </w:p>
        <w:p w14:paraId="3CC8E755" w14:textId="7C04BE1E" w:rsidR="006C29B6" w:rsidRDefault="006C29B6">
          <w:pPr>
            <w:pStyle w:val="TOC1"/>
            <w:tabs>
              <w:tab w:val="right" w:leader="dot" w:pos="9350"/>
            </w:tabs>
            <w:rPr>
              <w:rFonts w:asciiTheme="minorHAnsi" w:eastAsiaTheme="minorEastAsia" w:hAnsiTheme="minorHAnsi"/>
              <w:noProof/>
              <w:szCs w:val="24"/>
            </w:rPr>
          </w:pPr>
          <w:hyperlink w:anchor="_Toc190242759" w:history="1">
            <w:r w:rsidRPr="00B37BB0">
              <w:rPr>
                <w:rStyle w:val="Hyperlink"/>
                <w:noProof/>
              </w:rPr>
              <w:t>Appendix G—Public Involvement Process</w:t>
            </w:r>
            <w:r>
              <w:rPr>
                <w:noProof/>
                <w:webHidden/>
              </w:rPr>
              <w:tab/>
            </w:r>
            <w:r>
              <w:rPr>
                <w:noProof/>
                <w:webHidden/>
              </w:rPr>
              <w:fldChar w:fldCharType="begin"/>
            </w:r>
            <w:r>
              <w:rPr>
                <w:noProof/>
                <w:webHidden/>
              </w:rPr>
              <w:instrText xml:space="preserve"> PAGEREF _Toc190242759 \h </w:instrText>
            </w:r>
            <w:r>
              <w:rPr>
                <w:noProof/>
                <w:webHidden/>
              </w:rPr>
            </w:r>
            <w:r>
              <w:rPr>
                <w:noProof/>
                <w:webHidden/>
              </w:rPr>
              <w:fldChar w:fldCharType="separate"/>
            </w:r>
            <w:r>
              <w:rPr>
                <w:noProof/>
                <w:webHidden/>
              </w:rPr>
              <w:t>54</w:t>
            </w:r>
            <w:r>
              <w:rPr>
                <w:noProof/>
                <w:webHidden/>
              </w:rPr>
              <w:fldChar w:fldCharType="end"/>
            </w:r>
          </w:hyperlink>
        </w:p>
        <w:p w14:paraId="025F8DDC" w14:textId="7B08FAF6" w:rsidR="006C29B6" w:rsidRDefault="006C29B6">
          <w:pPr>
            <w:pStyle w:val="TOC2"/>
            <w:tabs>
              <w:tab w:val="right" w:leader="dot" w:pos="9350"/>
            </w:tabs>
            <w:rPr>
              <w:rFonts w:asciiTheme="minorHAnsi" w:eastAsiaTheme="minorEastAsia" w:hAnsiTheme="minorHAnsi"/>
              <w:noProof/>
              <w:szCs w:val="24"/>
            </w:rPr>
          </w:pPr>
          <w:hyperlink w:anchor="_Toc190242760" w:history="1">
            <w:r w:rsidRPr="00B37BB0">
              <w:rPr>
                <w:rStyle w:val="Hyperlink"/>
                <w:noProof/>
              </w:rPr>
              <w:t>G.1 Meeting Information</w:t>
            </w:r>
            <w:r>
              <w:rPr>
                <w:noProof/>
                <w:webHidden/>
              </w:rPr>
              <w:tab/>
            </w:r>
            <w:r>
              <w:rPr>
                <w:noProof/>
                <w:webHidden/>
              </w:rPr>
              <w:fldChar w:fldCharType="begin"/>
            </w:r>
            <w:r>
              <w:rPr>
                <w:noProof/>
                <w:webHidden/>
              </w:rPr>
              <w:instrText xml:space="preserve"> PAGEREF _Toc190242760 \h </w:instrText>
            </w:r>
            <w:r>
              <w:rPr>
                <w:noProof/>
                <w:webHidden/>
              </w:rPr>
            </w:r>
            <w:r>
              <w:rPr>
                <w:noProof/>
                <w:webHidden/>
              </w:rPr>
              <w:fldChar w:fldCharType="separate"/>
            </w:r>
            <w:r>
              <w:rPr>
                <w:noProof/>
                <w:webHidden/>
              </w:rPr>
              <w:t>54</w:t>
            </w:r>
            <w:r>
              <w:rPr>
                <w:noProof/>
                <w:webHidden/>
              </w:rPr>
              <w:fldChar w:fldCharType="end"/>
            </w:r>
          </w:hyperlink>
        </w:p>
        <w:p w14:paraId="26D1EC91" w14:textId="52570968" w:rsidR="006C29B6" w:rsidRDefault="006C29B6">
          <w:pPr>
            <w:pStyle w:val="TOC1"/>
            <w:tabs>
              <w:tab w:val="right" w:leader="dot" w:pos="9350"/>
            </w:tabs>
            <w:rPr>
              <w:rFonts w:asciiTheme="minorHAnsi" w:eastAsiaTheme="minorEastAsia" w:hAnsiTheme="minorHAnsi"/>
              <w:noProof/>
              <w:szCs w:val="24"/>
            </w:rPr>
          </w:pPr>
          <w:hyperlink w:anchor="_Toc190242761" w:history="1">
            <w:r w:rsidRPr="00B37BB0">
              <w:rPr>
                <w:rStyle w:val="Hyperlink"/>
                <w:bCs/>
                <w:noProof/>
              </w:rPr>
              <w:t>Appendix H—Supplemental Material</w:t>
            </w:r>
            <w:r w:rsidRPr="00B37BB0">
              <w:rPr>
                <w:rStyle w:val="Hyperlink"/>
                <w:noProof/>
              </w:rPr>
              <w:t>—Optional</w:t>
            </w:r>
            <w:r>
              <w:rPr>
                <w:noProof/>
                <w:webHidden/>
              </w:rPr>
              <w:tab/>
            </w:r>
            <w:r>
              <w:rPr>
                <w:noProof/>
                <w:webHidden/>
              </w:rPr>
              <w:fldChar w:fldCharType="begin"/>
            </w:r>
            <w:r>
              <w:rPr>
                <w:noProof/>
                <w:webHidden/>
              </w:rPr>
              <w:instrText xml:space="preserve"> PAGEREF _Toc190242761 \h </w:instrText>
            </w:r>
            <w:r>
              <w:rPr>
                <w:noProof/>
                <w:webHidden/>
              </w:rPr>
            </w:r>
            <w:r>
              <w:rPr>
                <w:noProof/>
                <w:webHidden/>
              </w:rPr>
              <w:fldChar w:fldCharType="separate"/>
            </w:r>
            <w:r>
              <w:rPr>
                <w:noProof/>
                <w:webHidden/>
              </w:rPr>
              <w:t>55</w:t>
            </w:r>
            <w:r>
              <w:rPr>
                <w:noProof/>
                <w:webHidden/>
              </w:rPr>
              <w:fldChar w:fldCharType="end"/>
            </w:r>
          </w:hyperlink>
        </w:p>
        <w:p w14:paraId="7D2B1EFC" w14:textId="72C18356" w:rsidR="009C579A" w:rsidRPr="00640D01" w:rsidRDefault="008753A7" w:rsidP="009C579A">
          <w:pPr>
            <w:rPr>
              <w:bCs/>
            </w:rPr>
          </w:pPr>
          <w:r w:rsidRPr="00640D01">
            <w:rPr>
              <w:b/>
              <w:bCs/>
            </w:rPr>
            <w:fldChar w:fldCharType="end"/>
          </w:r>
        </w:p>
      </w:sdtContent>
    </w:sdt>
    <w:p w14:paraId="724CEB4C" w14:textId="0F9B64B3" w:rsidR="000F4167" w:rsidRPr="00640D01" w:rsidRDefault="000F4167" w:rsidP="000F4167">
      <w:pPr>
        <w:pStyle w:val="Heading1"/>
        <w:numPr>
          <w:ilvl w:val="0"/>
          <w:numId w:val="0"/>
        </w:numPr>
        <w:ind w:left="360" w:hanging="360"/>
      </w:pPr>
      <w:bookmarkStart w:id="7" w:name="_Toc190242670"/>
      <w:r w:rsidRPr="00640D01">
        <w:lastRenderedPageBreak/>
        <w:t>List of Tables</w:t>
      </w:r>
      <w:bookmarkEnd w:id="7"/>
    </w:p>
    <w:p w14:paraId="1650F3A6" w14:textId="2B1458C5" w:rsidR="00514311" w:rsidRDefault="000F4167">
      <w:pPr>
        <w:pStyle w:val="TableofFigures"/>
        <w:tabs>
          <w:tab w:val="right" w:leader="dot" w:pos="9350"/>
        </w:tabs>
        <w:rPr>
          <w:rFonts w:asciiTheme="minorHAnsi" w:eastAsiaTheme="minorEastAsia" w:hAnsiTheme="minorHAnsi"/>
          <w:noProof/>
          <w:szCs w:val="24"/>
        </w:rPr>
      </w:pPr>
      <w:r w:rsidRPr="00640D01">
        <w:fldChar w:fldCharType="begin"/>
      </w:r>
      <w:r w:rsidRPr="00640D01">
        <w:instrText xml:space="preserve"> TOC \h \z \c "Table" </w:instrText>
      </w:r>
      <w:r w:rsidRPr="00640D01">
        <w:fldChar w:fldCharType="separate"/>
      </w:r>
      <w:hyperlink w:anchor="_Toc190183113" w:history="1">
        <w:r w:rsidR="00514311" w:rsidRPr="00CD612E">
          <w:rPr>
            <w:rStyle w:val="Hyperlink"/>
            <w:noProof/>
          </w:rPr>
          <w:t>Table 1</w:t>
        </w:r>
        <w:r w:rsidR="00514311" w:rsidRPr="00CD612E">
          <w:rPr>
            <w:rStyle w:val="Hyperlink"/>
            <w:noProof/>
          </w:rPr>
          <w:noBreakHyphen/>
          <w:t>1. For nonattainment or maintenance areas with adequate or approved SIP MVEB(s)</w:t>
        </w:r>
        <w:r w:rsidR="00514311">
          <w:rPr>
            <w:noProof/>
            <w:webHidden/>
          </w:rPr>
          <w:tab/>
        </w:r>
        <w:r w:rsidR="00514311">
          <w:rPr>
            <w:noProof/>
            <w:webHidden/>
          </w:rPr>
          <w:fldChar w:fldCharType="begin"/>
        </w:r>
        <w:r w:rsidR="00514311">
          <w:rPr>
            <w:noProof/>
            <w:webHidden/>
          </w:rPr>
          <w:instrText xml:space="preserve"> PAGEREF _Toc190183113 \h </w:instrText>
        </w:r>
        <w:r w:rsidR="00514311">
          <w:rPr>
            <w:noProof/>
            <w:webHidden/>
          </w:rPr>
        </w:r>
        <w:r w:rsidR="00514311">
          <w:rPr>
            <w:noProof/>
            <w:webHidden/>
          </w:rPr>
          <w:fldChar w:fldCharType="separate"/>
        </w:r>
        <w:r w:rsidR="006C29B6">
          <w:rPr>
            <w:noProof/>
            <w:webHidden/>
          </w:rPr>
          <w:t>13</w:t>
        </w:r>
        <w:r w:rsidR="00514311">
          <w:rPr>
            <w:noProof/>
            <w:webHidden/>
          </w:rPr>
          <w:fldChar w:fldCharType="end"/>
        </w:r>
      </w:hyperlink>
    </w:p>
    <w:p w14:paraId="3A9FE470" w14:textId="2523EEEB" w:rsidR="00514311" w:rsidRDefault="00514311">
      <w:pPr>
        <w:pStyle w:val="TableofFigures"/>
        <w:tabs>
          <w:tab w:val="right" w:leader="dot" w:pos="9350"/>
        </w:tabs>
        <w:rPr>
          <w:rFonts w:asciiTheme="minorHAnsi" w:eastAsiaTheme="minorEastAsia" w:hAnsiTheme="minorHAnsi"/>
          <w:noProof/>
          <w:szCs w:val="24"/>
        </w:rPr>
      </w:pPr>
      <w:hyperlink w:anchor="_Toc190183114" w:history="1">
        <w:r w:rsidRPr="00CD612E">
          <w:rPr>
            <w:rStyle w:val="Hyperlink"/>
            <w:noProof/>
          </w:rPr>
          <w:t>Table 2</w:t>
        </w:r>
        <w:r w:rsidRPr="00CD612E">
          <w:rPr>
            <w:rStyle w:val="Hyperlink"/>
            <w:noProof/>
          </w:rPr>
          <w:noBreakHyphen/>
          <w:t>1. NAAQS and MVEB (Tons/Day)</w:t>
        </w:r>
        <w:r>
          <w:rPr>
            <w:noProof/>
            <w:webHidden/>
          </w:rPr>
          <w:tab/>
        </w:r>
        <w:r>
          <w:rPr>
            <w:noProof/>
            <w:webHidden/>
          </w:rPr>
          <w:fldChar w:fldCharType="begin"/>
        </w:r>
        <w:r>
          <w:rPr>
            <w:noProof/>
            <w:webHidden/>
          </w:rPr>
          <w:instrText xml:space="preserve"> PAGEREF _Toc190183114 \h </w:instrText>
        </w:r>
        <w:r>
          <w:rPr>
            <w:noProof/>
            <w:webHidden/>
          </w:rPr>
        </w:r>
        <w:r>
          <w:rPr>
            <w:noProof/>
            <w:webHidden/>
          </w:rPr>
          <w:fldChar w:fldCharType="separate"/>
        </w:r>
        <w:r w:rsidR="006C29B6">
          <w:rPr>
            <w:noProof/>
            <w:webHidden/>
          </w:rPr>
          <w:t>16</w:t>
        </w:r>
        <w:r>
          <w:rPr>
            <w:noProof/>
            <w:webHidden/>
          </w:rPr>
          <w:fldChar w:fldCharType="end"/>
        </w:r>
      </w:hyperlink>
    </w:p>
    <w:p w14:paraId="230B6FAC" w14:textId="343C18CC" w:rsidR="00514311" w:rsidRDefault="00514311">
      <w:pPr>
        <w:pStyle w:val="TableofFigures"/>
        <w:tabs>
          <w:tab w:val="right" w:leader="dot" w:pos="9350"/>
        </w:tabs>
        <w:rPr>
          <w:rFonts w:asciiTheme="minorHAnsi" w:eastAsiaTheme="minorEastAsia" w:hAnsiTheme="minorHAnsi"/>
          <w:noProof/>
          <w:szCs w:val="24"/>
        </w:rPr>
      </w:pPr>
      <w:hyperlink w:anchor="_Toc190183115" w:history="1">
        <w:r w:rsidRPr="00CD612E">
          <w:rPr>
            <w:rStyle w:val="Hyperlink"/>
            <w:noProof/>
          </w:rPr>
          <w:t>Table 2</w:t>
        </w:r>
        <w:r w:rsidRPr="00CD612E">
          <w:rPr>
            <w:rStyle w:val="Hyperlink"/>
            <w:noProof/>
          </w:rPr>
          <w:noBreakHyphen/>
          <w:t>2. Conformity Analysis Years</w:t>
        </w:r>
        <w:r>
          <w:rPr>
            <w:noProof/>
            <w:webHidden/>
          </w:rPr>
          <w:tab/>
        </w:r>
        <w:r>
          <w:rPr>
            <w:noProof/>
            <w:webHidden/>
          </w:rPr>
          <w:fldChar w:fldCharType="begin"/>
        </w:r>
        <w:r>
          <w:rPr>
            <w:noProof/>
            <w:webHidden/>
          </w:rPr>
          <w:instrText xml:space="preserve"> PAGEREF _Toc190183115 \h </w:instrText>
        </w:r>
        <w:r>
          <w:rPr>
            <w:noProof/>
            <w:webHidden/>
          </w:rPr>
        </w:r>
        <w:r>
          <w:rPr>
            <w:noProof/>
            <w:webHidden/>
          </w:rPr>
          <w:fldChar w:fldCharType="separate"/>
        </w:r>
        <w:r w:rsidR="006C29B6">
          <w:rPr>
            <w:noProof/>
            <w:webHidden/>
          </w:rPr>
          <w:t>17</w:t>
        </w:r>
        <w:r>
          <w:rPr>
            <w:noProof/>
            <w:webHidden/>
          </w:rPr>
          <w:fldChar w:fldCharType="end"/>
        </w:r>
      </w:hyperlink>
    </w:p>
    <w:p w14:paraId="08C7E684" w14:textId="5D4E38EE" w:rsidR="00514311" w:rsidRDefault="00514311">
      <w:pPr>
        <w:pStyle w:val="TableofFigures"/>
        <w:tabs>
          <w:tab w:val="right" w:leader="dot" w:pos="9350"/>
        </w:tabs>
        <w:rPr>
          <w:rFonts w:asciiTheme="minorHAnsi" w:eastAsiaTheme="minorEastAsia" w:hAnsiTheme="minorHAnsi"/>
          <w:noProof/>
          <w:szCs w:val="24"/>
        </w:rPr>
      </w:pPr>
      <w:hyperlink w:anchor="_Toc190183116" w:history="1">
        <w:r w:rsidRPr="00CD612E">
          <w:rPr>
            <w:rStyle w:val="Hyperlink"/>
            <w:noProof/>
          </w:rPr>
          <w:t>Table 2</w:t>
        </w:r>
        <w:r w:rsidRPr="00CD612E">
          <w:rPr>
            <w:rStyle w:val="Hyperlink"/>
            <w:noProof/>
          </w:rPr>
          <w:noBreakHyphen/>
          <w:t>3. Checklist of Items Required in This Conformity Review</w:t>
        </w:r>
        <w:r>
          <w:rPr>
            <w:noProof/>
            <w:webHidden/>
          </w:rPr>
          <w:tab/>
        </w:r>
        <w:r>
          <w:rPr>
            <w:noProof/>
            <w:webHidden/>
          </w:rPr>
          <w:fldChar w:fldCharType="begin"/>
        </w:r>
        <w:r>
          <w:rPr>
            <w:noProof/>
            <w:webHidden/>
          </w:rPr>
          <w:instrText xml:space="preserve"> PAGEREF _Toc190183116 \h </w:instrText>
        </w:r>
        <w:r>
          <w:rPr>
            <w:noProof/>
            <w:webHidden/>
          </w:rPr>
        </w:r>
        <w:r>
          <w:rPr>
            <w:noProof/>
            <w:webHidden/>
          </w:rPr>
          <w:fldChar w:fldCharType="separate"/>
        </w:r>
        <w:r w:rsidR="006C29B6">
          <w:rPr>
            <w:noProof/>
            <w:webHidden/>
          </w:rPr>
          <w:t>17</w:t>
        </w:r>
        <w:r>
          <w:rPr>
            <w:noProof/>
            <w:webHidden/>
          </w:rPr>
          <w:fldChar w:fldCharType="end"/>
        </w:r>
      </w:hyperlink>
    </w:p>
    <w:p w14:paraId="77E2FEF0" w14:textId="41C5B932" w:rsidR="00514311" w:rsidRDefault="00514311">
      <w:pPr>
        <w:pStyle w:val="TableofFigures"/>
        <w:tabs>
          <w:tab w:val="right" w:leader="dot" w:pos="9350"/>
        </w:tabs>
        <w:rPr>
          <w:rFonts w:asciiTheme="minorHAnsi" w:eastAsiaTheme="minorEastAsia" w:hAnsiTheme="minorHAnsi"/>
          <w:noProof/>
          <w:szCs w:val="24"/>
        </w:rPr>
      </w:pPr>
      <w:hyperlink w:anchor="_Toc190183117" w:history="1">
        <w:r w:rsidRPr="00CD612E">
          <w:rPr>
            <w:rStyle w:val="Hyperlink"/>
            <w:noProof/>
          </w:rPr>
          <w:t>Table 4</w:t>
        </w:r>
        <w:r w:rsidRPr="00CD612E">
          <w:rPr>
            <w:rStyle w:val="Hyperlink"/>
            <w:noProof/>
          </w:rPr>
          <w:noBreakHyphen/>
          <w:t>1. Example of Mode Choices Modeled Table</w:t>
        </w:r>
        <w:r>
          <w:rPr>
            <w:noProof/>
            <w:webHidden/>
          </w:rPr>
          <w:tab/>
        </w:r>
        <w:r>
          <w:rPr>
            <w:noProof/>
            <w:webHidden/>
          </w:rPr>
          <w:fldChar w:fldCharType="begin"/>
        </w:r>
        <w:r>
          <w:rPr>
            <w:noProof/>
            <w:webHidden/>
          </w:rPr>
          <w:instrText xml:space="preserve"> PAGEREF _Toc190183117 \h </w:instrText>
        </w:r>
        <w:r>
          <w:rPr>
            <w:noProof/>
            <w:webHidden/>
          </w:rPr>
        </w:r>
        <w:r>
          <w:rPr>
            <w:noProof/>
            <w:webHidden/>
          </w:rPr>
          <w:fldChar w:fldCharType="separate"/>
        </w:r>
        <w:r w:rsidR="006C29B6">
          <w:rPr>
            <w:noProof/>
            <w:webHidden/>
          </w:rPr>
          <w:t>25</w:t>
        </w:r>
        <w:r>
          <w:rPr>
            <w:noProof/>
            <w:webHidden/>
          </w:rPr>
          <w:fldChar w:fldCharType="end"/>
        </w:r>
      </w:hyperlink>
    </w:p>
    <w:p w14:paraId="5A5B24BD" w14:textId="5787E767" w:rsidR="00514311" w:rsidRDefault="00514311">
      <w:pPr>
        <w:pStyle w:val="TableofFigures"/>
        <w:tabs>
          <w:tab w:val="right" w:leader="dot" w:pos="9350"/>
        </w:tabs>
        <w:rPr>
          <w:rFonts w:asciiTheme="minorHAnsi" w:eastAsiaTheme="minorEastAsia" w:hAnsiTheme="minorHAnsi"/>
          <w:noProof/>
          <w:szCs w:val="24"/>
        </w:rPr>
      </w:pPr>
      <w:hyperlink w:anchor="_Toc190183118" w:history="1">
        <w:r w:rsidRPr="00CD612E">
          <w:rPr>
            <w:rStyle w:val="Hyperlink"/>
            <w:noProof/>
          </w:rPr>
          <w:t>Table 4</w:t>
        </w:r>
        <w:r w:rsidRPr="00CD612E">
          <w:rPr>
            <w:rStyle w:val="Hyperlink"/>
            <w:noProof/>
          </w:rPr>
          <w:noBreakHyphen/>
          <w:t>2. [TDM Validation Year] HPMS Factor</w:t>
        </w:r>
        <w:r>
          <w:rPr>
            <w:noProof/>
            <w:webHidden/>
          </w:rPr>
          <w:tab/>
        </w:r>
        <w:r>
          <w:rPr>
            <w:noProof/>
            <w:webHidden/>
          </w:rPr>
          <w:fldChar w:fldCharType="begin"/>
        </w:r>
        <w:r>
          <w:rPr>
            <w:noProof/>
            <w:webHidden/>
          </w:rPr>
          <w:instrText xml:space="preserve"> PAGEREF _Toc190183118 \h </w:instrText>
        </w:r>
        <w:r>
          <w:rPr>
            <w:noProof/>
            <w:webHidden/>
          </w:rPr>
        </w:r>
        <w:r>
          <w:rPr>
            <w:noProof/>
            <w:webHidden/>
          </w:rPr>
          <w:fldChar w:fldCharType="separate"/>
        </w:r>
        <w:r w:rsidR="006C29B6">
          <w:rPr>
            <w:noProof/>
            <w:webHidden/>
          </w:rPr>
          <w:t>26</w:t>
        </w:r>
        <w:r>
          <w:rPr>
            <w:noProof/>
            <w:webHidden/>
          </w:rPr>
          <w:fldChar w:fldCharType="end"/>
        </w:r>
      </w:hyperlink>
    </w:p>
    <w:p w14:paraId="759D41B2" w14:textId="2659BBD7" w:rsidR="00514311" w:rsidRDefault="00514311">
      <w:pPr>
        <w:pStyle w:val="TableofFigures"/>
        <w:tabs>
          <w:tab w:val="right" w:leader="dot" w:pos="9350"/>
        </w:tabs>
        <w:rPr>
          <w:rFonts w:asciiTheme="minorHAnsi" w:eastAsiaTheme="minorEastAsia" w:hAnsiTheme="minorHAnsi"/>
          <w:noProof/>
          <w:szCs w:val="24"/>
        </w:rPr>
      </w:pPr>
      <w:hyperlink w:anchor="_Toc190183119" w:history="1">
        <w:r w:rsidRPr="00CD612E">
          <w:rPr>
            <w:rStyle w:val="Hyperlink"/>
            <w:noProof/>
          </w:rPr>
          <w:t>Table 4</w:t>
        </w:r>
        <w:r w:rsidRPr="00CD612E">
          <w:rPr>
            <w:rStyle w:val="Hyperlink"/>
            <w:noProof/>
          </w:rPr>
          <w:noBreakHyphen/>
          <w:t>3. Seasonal Adjustment Factors</w:t>
        </w:r>
        <w:r>
          <w:rPr>
            <w:noProof/>
            <w:webHidden/>
          </w:rPr>
          <w:tab/>
        </w:r>
        <w:r>
          <w:rPr>
            <w:noProof/>
            <w:webHidden/>
          </w:rPr>
          <w:fldChar w:fldCharType="begin"/>
        </w:r>
        <w:r>
          <w:rPr>
            <w:noProof/>
            <w:webHidden/>
          </w:rPr>
          <w:instrText xml:space="preserve"> PAGEREF _Toc190183119 \h </w:instrText>
        </w:r>
        <w:r>
          <w:rPr>
            <w:noProof/>
            <w:webHidden/>
          </w:rPr>
        </w:r>
        <w:r>
          <w:rPr>
            <w:noProof/>
            <w:webHidden/>
          </w:rPr>
          <w:fldChar w:fldCharType="separate"/>
        </w:r>
        <w:r w:rsidR="006C29B6">
          <w:rPr>
            <w:noProof/>
            <w:webHidden/>
          </w:rPr>
          <w:t>26</w:t>
        </w:r>
        <w:r>
          <w:rPr>
            <w:noProof/>
            <w:webHidden/>
          </w:rPr>
          <w:fldChar w:fldCharType="end"/>
        </w:r>
      </w:hyperlink>
    </w:p>
    <w:p w14:paraId="2CEE3E1B" w14:textId="6324EF12" w:rsidR="00514311" w:rsidRDefault="00514311">
      <w:pPr>
        <w:pStyle w:val="TableofFigures"/>
        <w:tabs>
          <w:tab w:val="right" w:leader="dot" w:pos="9350"/>
        </w:tabs>
        <w:rPr>
          <w:rFonts w:asciiTheme="minorHAnsi" w:eastAsiaTheme="minorEastAsia" w:hAnsiTheme="minorHAnsi"/>
          <w:noProof/>
          <w:szCs w:val="24"/>
        </w:rPr>
      </w:pPr>
      <w:hyperlink w:anchor="_Toc190183120" w:history="1">
        <w:r w:rsidRPr="00CD612E">
          <w:rPr>
            <w:rStyle w:val="Hyperlink"/>
            <w:noProof/>
          </w:rPr>
          <w:t>Table 4</w:t>
        </w:r>
        <w:r w:rsidRPr="00CD612E">
          <w:rPr>
            <w:rStyle w:val="Hyperlink"/>
            <w:noProof/>
          </w:rPr>
          <w:noBreakHyphen/>
          <w:t>4. Example of Summer Weekday Hourly VMT Distribution</w:t>
        </w:r>
        <w:r>
          <w:rPr>
            <w:noProof/>
            <w:webHidden/>
          </w:rPr>
          <w:tab/>
        </w:r>
        <w:r>
          <w:rPr>
            <w:noProof/>
            <w:webHidden/>
          </w:rPr>
          <w:fldChar w:fldCharType="begin"/>
        </w:r>
        <w:r>
          <w:rPr>
            <w:noProof/>
            <w:webHidden/>
          </w:rPr>
          <w:instrText xml:space="preserve"> PAGEREF _Toc190183120 \h </w:instrText>
        </w:r>
        <w:r>
          <w:rPr>
            <w:noProof/>
            <w:webHidden/>
          </w:rPr>
        </w:r>
        <w:r>
          <w:rPr>
            <w:noProof/>
            <w:webHidden/>
          </w:rPr>
          <w:fldChar w:fldCharType="separate"/>
        </w:r>
        <w:r w:rsidR="006C29B6">
          <w:rPr>
            <w:noProof/>
            <w:webHidden/>
          </w:rPr>
          <w:t>27</w:t>
        </w:r>
        <w:r>
          <w:rPr>
            <w:noProof/>
            <w:webHidden/>
          </w:rPr>
          <w:fldChar w:fldCharType="end"/>
        </w:r>
      </w:hyperlink>
    </w:p>
    <w:p w14:paraId="4AD14FC6" w14:textId="795827DE" w:rsidR="00514311" w:rsidRDefault="00514311">
      <w:pPr>
        <w:pStyle w:val="TableofFigures"/>
        <w:tabs>
          <w:tab w:val="right" w:leader="dot" w:pos="9350"/>
        </w:tabs>
        <w:rPr>
          <w:rFonts w:asciiTheme="minorHAnsi" w:eastAsiaTheme="minorEastAsia" w:hAnsiTheme="minorHAnsi"/>
          <w:noProof/>
          <w:szCs w:val="24"/>
        </w:rPr>
      </w:pPr>
      <w:hyperlink w:anchor="_Toc190183121" w:history="1">
        <w:r w:rsidRPr="00CD612E">
          <w:rPr>
            <w:rStyle w:val="Hyperlink"/>
            <w:noProof/>
          </w:rPr>
          <w:t>Table 4</w:t>
        </w:r>
        <w:r w:rsidRPr="00CD612E">
          <w:rPr>
            <w:rStyle w:val="Hyperlink"/>
            <w:noProof/>
          </w:rPr>
          <w:noBreakHyphen/>
          <w:t>5. Vehicle Registration Aggregations and Vehicle Types</w:t>
        </w:r>
        <w:r>
          <w:rPr>
            <w:noProof/>
            <w:webHidden/>
          </w:rPr>
          <w:tab/>
        </w:r>
        <w:r>
          <w:rPr>
            <w:noProof/>
            <w:webHidden/>
          </w:rPr>
          <w:fldChar w:fldCharType="begin"/>
        </w:r>
        <w:r>
          <w:rPr>
            <w:noProof/>
            <w:webHidden/>
          </w:rPr>
          <w:instrText xml:space="preserve"> PAGEREF _Toc190183121 \h </w:instrText>
        </w:r>
        <w:r>
          <w:rPr>
            <w:noProof/>
            <w:webHidden/>
          </w:rPr>
        </w:r>
        <w:r>
          <w:rPr>
            <w:noProof/>
            <w:webHidden/>
          </w:rPr>
          <w:fldChar w:fldCharType="separate"/>
        </w:r>
        <w:r w:rsidR="006C29B6">
          <w:rPr>
            <w:noProof/>
            <w:webHidden/>
          </w:rPr>
          <w:t>29</w:t>
        </w:r>
        <w:r>
          <w:rPr>
            <w:noProof/>
            <w:webHidden/>
          </w:rPr>
          <w:fldChar w:fldCharType="end"/>
        </w:r>
      </w:hyperlink>
    </w:p>
    <w:p w14:paraId="5AEE4116" w14:textId="56BF1E2F" w:rsidR="00514311" w:rsidRDefault="00514311">
      <w:pPr>
        <w:pStyle w:val="TableofFigures"/>
        <w:tabs>
          <w:tab w:val="right" w:leader="dot" w:pos="9350"/>
        </w:tabs>
        <w:rPr>
          <w:rFonts w:asciiTheme="minorHAnsi" w:eastAsiaTheme="minorEastAsia" w:hAnsiTheme="minorHAnsi"/>
          <w:noProof/>
          <w:szCs w:val="24"/>
        </w:rPr>
      </w:pPr>
      <w:hyperlink w:anchor="_Toc190183122" w:history="1">
        <w:r w:rsidRPr="00CD612E">
          <w:rPr>
            <w:rStyle w:val="Hyperlink"/>
            <w:noProof/>
          </w:rPr>
          <w:t>Table 4</w:t>
        </w:r>
        <w:r w:rsidRPr="00CD612E">
          <w:rPr>
            <w:rStyle w:val="Hyperlink"/>
            <w:noProof/>
          </w:rPr>
          <w:noBreakHyphen/>
          <w:t>6. Hoteling Activity Distribution by Model Year</w:t>
        </w:r>
        <w:r>
          <w:rPr>
            <w:noProof/>
            <w:webHidden/>
          </w:rPr>
          <w:tab/>
        </w:r>
        <w:r>
          <w:rPr>
            <w:noProof/>
            <w:webHidden/>
          </w:rPr>
          <w:fldChar w:fldCharType="begin"/>
        </w:r>
        <w:r>
          <w:rPr>
            <w:noProof/>
            <w:webHidden/>
          </w:rPr>
          <w:instrText xml:space="preserve"> PAGEREF _Toc190183122 \h </w:instrText>
        </w:r>
        <w:r>
          <w:rPr>
            <w:noProof/>
            <w:webHidden/>
          </w:rPr>
        </w:r>
        <w:r>
          <w:rPr>
            <w:noProof/>
            <w:webHidden/>
          </w:rPr>
          <w:fldChar w:fldCharType="separate"/>
        </w:r>
        <w:r w:rsidR="006C29B6">
          <w:rPr>
            <w:noProof/>
            <w:webHidden/>
          </w:rPr>
          <w:t>32</w:t>
        </w:r>
        <w:r>
          <w:rPr>
            <w:noProof/>
            <w:webHidden/>
          </w:rPr>
          <w:fldChar w:fldCharType="end"/>
        </w:r>
      </w:hyperlink>
    </w:p>
    <w:p w14:paraId="0143C0E3" w14:textId="68659F7B" w:rsidR="00514311" w:rsidRDefault="00514311">
      <w:pPr>
        <w:pStyle w:val="TableofFigures"/>
        <w:tabs>
          <w:tab w:val="right" w:leader="dot" w:pos="9350"/>
        </w:tabs>
        <w:rPr>
          <w:rFonts w:asciiTheme="minorHAnsi" w:eastAsiaTheme="minorEastAsia" w:hAnsiTheme="minorHAnsi"/>
          <w:noProof/>
          <w:szCs w:val="24"/>
        </w:rPr>
      </w:pPr>
      <w:hyperlink w:anchor="_Toc190183123" w:history="1">
        <w:r w:rsidRPr="00CD612E">
          <w:rPr>
            <w:rStyle w:val="Hyperlink"/>
            <w:noProof/>
          </w:rPr>
          <w:t>Table 5</w:t>
        </w:r>
        <w:r w:rsidRPr="00CD612E">
          <w:rPr>
            <w:rStyle w:val="Hyperlink"/>
            <w:noProof/>
          </w:rPr>
          <w:noBreakHyphen/>
          <w:t>1. MOVES Input Parameters and Data Source</w:t>
        </w:r>
        <w:r>
          <w:rPr>
            <w:noProof/>
            <w:webHidden/>
          </w:rPr>
          <w:tab/>
        </w:r>
        <w:r>
          <w:rPr>
            <w:noProof/>
            <w:webHidden/>
          </w:rPr>
          <w:fldChar w:fldCharType="begin"/>
        </w:r>
        <w:r>
          <w:rPr>
            <w:noProof/>
            <w:webHidden/>
          </w:rPr>
          <w:instrText xml:space="preserve"> PAGEREF _Toc190183123 \h </w:instrText>
        </w:r>
        <w:r>
          <w:rPr>
            <w:noProof/>
            <w:webHidden/>
          </w:rPr>
        </w:r>
        <w:r>
          <w:rPr>
            <w:noProof/>
            <w:webHidden/>
          </w:rPr>
          <w:fldChar w:fldCharType="separate"/>
        </w:r>
        <w:r w:rsidR="006C29B6">
          <w:rPr>
            <w:noProof/>
            <w:webHidden/>
          </w:rPr>
          <w:t>35</w:t>
        </w:r>
        <w:r>
          <w:rPr>
            <w:noProof/>
            <w:webHidden/>
          </w:rPr>
          <w:fldChar w:fldCharType="end"/>
        </w:r>
      </w:hyperlink>
    </w:p>
    <w:p w14:paraId="1F4B7A6A" w14:textId="79232EF2" w:rsidR="00514311" w:rsidRDefault="00514311">
      <w:pPr>
        <w:pStyle w:val="TableofFigures"/>
        <w:tabs>
          <w:tab w:val="right" w:leader="dot" w:pos="9350"/>
        </w:tabs>
        <w:rPr>
          <w:rFonts w:asciiTheme="minorHAnsi" w:eastAsiaTheme="minorEastAsia" w:hAnsiTheme="minorHAnsi"/>
          <w:noProof/>
          <w:szCs w:val="24"/>
        </w:rPr>
      </w:pPr>
      <w:hyperlink w:anchor="_Toc190183124" w:history="1">
        <w:r w:rsidRPr="00CD612E">
          <w:rPr>
            <w:rStyle w:val="Hyperlink"/>
            <w:noProof/>
          </w:rPr>
          <w:t>Table 5</w:t>
        </w:r>
        <w:r w:rsidRPr="00CD612E">
          <w:rPr>
            <w:rStyle w:val="Hyperlink"/>
            <w:noProof/>
          </w:rPr>
          <w:noBreakHyphen/>
          <w:t>2. Fuel Supply</w:t>
        </w:r>
        <w:r>
          <w:rPr>
            <w:noProof/>
            <w:webHidden/>
          </w:rPr>
          <w:tab/>
        </w:r>
        <w:r>
          <w:rPr>
            <w:noProof/>
            <w:webHidden/>
          </w:rPr>
          <w:fldChar w:fldCharType="begin"/>
        </w:r>
        <w:r>
          <w:rPr>
            <w:noProof/>
            <w:webHidden/>
          </w:rPr>
          <w:instrText xml:space="preserve"> PAGEREF _Toc190183124 \h </w:instrText>
        </w:r>
        <w:r>
          <w:rPr>
            <w:noProof/>
            <w:webHidden/>
          </w:rPr>
        </w:r>
        <w:r>
          <w:rPr>
            <w:noProof/>
            <w:webHidden/>
          </w:rPr>
          <w:fldChar w:fldCharType="separate"/>
        </w:r>
        <w:r w:rsidR="006C29B6">
          <w:rPr>
            <w:noProof/>
            <w:webHidden/>
          </w:rPr>
          <w:t>38</w:t>
        </w:r>
        <w:r>
          <w:rPr>
            <w:noProof/>
            <w:webHidden/>
          </w:rPr>
          <w:fldChar w:fldCharType="end"/>
        </w:r>
      </w:hyperlink>
    </w:p>
    <w:p w14:paraId="2DA405F5" w14:textId="222A4F9A" w:rsidR="00514311" w:rsidRDefault="00514311">
      <w:pPr>
        <w:pStyle w:val="TableofFigures"/>
        <w:tabs>
          <w:tab w:val="right" w:leader="dot" w:pos="9350"/>
        </w:tabs>
        <w:rPr>
          <w:rFonts w:asciiTheme="minorHAnsi" w:eastAsiaTheme="minorEastAsia" w:hAnsiTheme="minorHAnsi"/>
          <w:noProof/>
          <w:szCs w:val="24"/>
        </w:rPr>
      </w:pPr>
      <w:hyperlink w:anchor="_Toc190183125" w:history="1">
        <w:r w:rsidRPr="00CD612E">
          <w:rPr>
            <w:rStyle w:val="Hyperlink"/>
            <w:noProof/>
          </w:rPr>
          <w:t>Table 5</w:t>
        </w:r>
        <w:r w:rsidRPr="00CD612E">
          <w:rPr>
            <w:rStyle w:val="Hyperlink"/>
            <w:noProof/>
          </w:rPr>
          <w:noBreakHyphen/>
          <w:t>3. Fuel Properties</w:t>
        </w:r>
        <w:r>
          <w:rPr>
            <w:noProof/>
            <w:webHidden/>
          </w:rPr>
          <w:tab/>
        </w:r>
        <w:r>
          <w:rPr>
            <w:noProof/>
            <w:webHidden/>
          </w:rPr>
          <w:fldChar w:fldCharType="begin"/>
        </w:r>
        <w:r>
          <w:rPr>
            <w:noProof/>
            <w:webHidden/>
          </w:rPr>
          <w:instrText xml:space="preserve"> PAGEREF _Toc190183125 \h </w:instrText>
        </w:r>
        <w:r>
          <w:rPr>
            <w:noProof/>
            <w:webHidden/>
          </w:rPr>
        </w:r>
        <w:r>
          <w:rPr>
            <w:noProof/>
            <w:webHidden/>
          </w:rPr>
          <w:fldChar w:fldCharType="separate"/>
        </w:r>
        <w:r w:rsidR="006C29B6">
          <w:rPr>
            <w:noProof/>
            <w:webHidden/>
          </w:rPr>
          <w:t>38</w:t>
        </w:r>
        <w:r>
          <w:rPr>
            <w:noProof/>
            <w:webHidden/>
          </w:rPr>
          <w:fldChar w:fldCharType="end"/>
        </w:r>
      </w:hyperlink>
    </w:p>
    <w:p w14:paraId="088557FE" w14:textId="001F0F1B" w:rsidR="00514311" w:rsidRDefault="00514311">
      <w:pPr>
        <w:pStyle w:val="TableofFigures"/>
        <w:tabs>
          <w:tab w:val="right" w:leader="dot" w:pos="9350"/>
        </w:tabs>
        <w:rPr>
          <w:rFonts w:asciiTheme="minorHAnsi" w:eastAsiaTheme="minorEastAsia" w:hAnsiTheme="minorHAnsi"/>
          <w:noProof/>
          <w:szCs w:val="24"/>
        </w:rPr>
      </w:pPr>
      <w:hyperlink w:anchor="_Toc190183126" w:history="1">
        <w:r w:rsidRPr="00CD612E">
          <w:rPr>
            <w:rStyle w:val="Hyperlink"/>
            <w:noProof/>
          </w:rPr>
          <w:t>Table 5</w:t>
        </w:r>
        <w:r w:rsidRPr="00CD612E">
          <w:rPr>
            <w:rStyle w:val="Hyperlink"/>
            <w:noProof/>
          </w:rPr>
          <w:noBreakHyphen/>
          <w:t>4. Hourly Meteorological Data</w:t>
        </w:r>
        <w:r>
          <w:rPr>
            <w:noProof/>
            <w:webHidden/>
          </w:rPr>
          <w:tab/>
        </w:r>
        <w:r>
          <w:rPr>
            <w:noProof/>
            <w:webHidden/>
          </w:rPr>
          <w:fldChar w:fldCharType="begin"/>
        </w:r>
        <w:r>
          <w:rPr>
            <w:noProof/>
            <w:webHidden/>
          </w:rPr>
          <w:instrText xml:space="preserve"> PAGEREF _Toc190183126 \h </w:instrText>
        </w:r>
        <w:r>
          <w:rPr>
            <w:noProof/>
            <w:webHidden/>
          </w:rPr>
        </w:r>
        <w:r>
          <w:rPr>
            <w:noProof/>
            <w:webHidden/>
          </w:rPr>
          <w:fldChar w:fldCharType="separate"/>
        </w:r>
        <w:r w:rsidR="006C29B6">
          <w:rPr>
            <w:noProof/>
            <w:webHidden/>
          </w:rPr>
          <w:t>39</w:t>
        </w:r>
        <w:r>
          <w:rPr>
            <w:noProof/>
            <w:webHidden/>
          </w:rPr>
          <w:fldChar w:fldCharType="end"/>
        </w:r>
      </w:hyperlink>
    </w:p>
    <w:p w14:paraId="7E8D6E25" w14:textId="6AF2BCDE" w:rsidR="00514311" w:rsidRDefault="00514311">
      <w:pPr>
        <w:pStyle w:val="TableofFigures"/>
        <w:tabs>
          <w:tab w:val="right" w:leader="dot" w:pos="9350"/>
        </w:tabs>
        <w:rPr>
          <w:rFonts w:asciiTheme="minorHAnsi" w:eastAsiaTheme="minorEastAsia" w:hAnsiTheme="minorHAnsi"/>
          <w:noProof/>
          <w:szCs w:val="24"/>
        </w:rPr>
      </w:pPr>
      <w:hyperlink w:anchor="_Toc190183127" w:history="1">
        <w:r w:rsidRPr="00CD612E">
          <w:rPr>
            <w:rStyle w:val="Hyperlink"/>
            <w:noProof/>
          </w:rPr>
          <w:t>Table 5</w:t>
        </w:r>
        <w:r w:rsidRPr="00CD612E">
          <w:rPr>
            <w:rStyle w:val="Hyperlink"/>
            <w:noProof/>
          </w:rPr>
          <w:noBreakHyphen/>
          <w:t>5. Barometric Pressure</w:t>
        </w:r>
        <w:r>
          <w:rPr>
            <w:noProof/>
            <w:webHidden/>
          </w:rPr>
          <w:tab/>
        </w:r>
        <w:r>
          <w:rPr>
            <w:noProof/>
            <w:webHidden/>
          </w:rPr>
          <w:fldChar w:fldCharType="begin"/>
        </w:r>
        <w:r>
          <w:rPr>
            <w:noProof/>
            <w:webHidden/>
          </w:rPr>
          <w:instrText xml:space="preserve"> PAGEREF _Toc190183127 \h </w:instrText>
        </w:r>
        <w:r>
          <w:rPr>
            <w:noProof/>
            <w:webHidden/>
          </w:rPr>
        </w:r>
        <w:r>
          <w:rPr>
            <w:noProof/>
            <w:webHidden/>
          </w:rPr>
          <w:fldChar w:fldCharType="separate"/>
        </w:r>
        <w:r w:rsidR="006C29B6">
          <w:rPr>
            <w:noProof/>
            <w:webHidden/>
          </w:rPr>
          <w:t>39</w:t>
        </w:r>
        <w:r>
          <w:rPr>
            <w:noProof/>
            <w:webHidden/>
          </w:rPr>
          <w:fldChar w:fldCharType="end"/>
        </w:r>
      </w:hyperlink>
    </w:p>
    <w:p w14:paraId="12C772D9" w14:textId="503239BB" w:rsidR="00514311" w:rsidRDefault="00514311">
      <w:pPr>
        <w:pStyle w:val="TableofFigures"/>
        <w:tabs>
          <w:tab w:val="right" w:leader="dot" w:pos="9350"/>
        </w:tabs>
        <w:rPr>
          <w:rFonts w:asciiTheme="minorHAnsi" w:eastAsiaTheme="minorEastAsia" w:hAnsiTheme="minorHAnsi"/>
          <w:noProof/>
          <w:szCs w:val="24"/>
        </w:rPr>
      </w:pPr>
      <w:hyperlink w:anchor="_Toc190183128" w:history="1">
        <w:r w:rsidRPr="00CD612E">
          <w:rPr>
            <w:rStyle w:val="Hyperlink"/>
            <w:noProof/>
          </w:rPr>
          <w:t>Table 5</w:t>
        </w:r>
        <w:r w:rsidRPr="00CD612E">
          <w:rPr>
            <w:rStyle w:val="Hyperlink"/>
            <w:noProof/>
          </w:rPr>
          <w:noBreakHyphen/>
          <w:t>6. I/M Inputs</w:t>
        </w:r>
        <w:r>
          <w:rPr>
            <w:noProof/>
            <w:webHidden/>
          </w:rPr>
          <w:tab/>
        </w:r>
        <w:r>
          <w:rPr>
            <w:noProof/>
            <w:webHidden/>
          </w:rPr>
          <w:fldChar w:fldCharType="begin"/>
        </w:r>
        <w:r>
          <w:rPr>
            <w:noProof/>
            <w:webHidden/>
          </w:rPr>
          <w:instrText xml:space="preserve"> PAGEREF _Toc190183128 \h </w:instrText>
        </w:r>
        <w:r>
          <w:rPr>
            <w:noProof/>
            <w:webHidden/>
          </w:rPr>
        </w:r>
        <w:r>
          <w:rPr>
            <w:noProof/>
            <w:webHidden/>
          </w:rPr>
          <w:fldChar w:fldCharType="separate"/>
        </w:r>
        <w:r w:rsidR="006C29B6">
          <w:rPr>
            <w:noProof/>
            <w:webHidden/>
          </w:rPr>
          <w:t>40</w:t>
        </w:r>
        <w:r>
          <w:rPr>
            <w:noProof/>
            <w:webHidden/>
          </w:rPr>
          <w:fldChar w:fldCharType="end"/>
        </w:r>
      </w:hyperlink>
    </w:p>
    <w:p w14:paraId="088DB232" w14:textId="5D9E34A5" w:rsidR="00514311" w:rsidRDefault="00514311">
      <w:pPr>
        <w:pStyle w:val="TableofFigures"/>
        <w:tabs>
          <w:tab w:val="right" w:leader="dot" w:pos="9350"/>
        </w:tabs>
        <w:rPr>
          <w:rFonts w:asciiTheme="minorHAnsi" w:eastAsiaTheme="minorEastAsia" w:hAnsiTheme="minorHAnsi"/>
          <w:noProof/>
          <w:szCs w:val="24"/>
        </w:rPr>
      </w:pPr>
      <w:hyperlink w:anchor="_Toc190183129" w:history="1">
        <w:r w:rsidRPr="00CD612E">
          <w:rPr>
            <w:rStyle w:val="Hyperlink"/>
            <w:noProof/>
          </w:rPr>
          <w:t>Table 5</w:t>
        </w:r>
        <w:r w:rsidRPr="00CD612E">
          <w:rPr>
            <w:rStyle w:val="Hyperlink"/>
            <w:noProof/>
          </w:rPr>
          <w:noBreakHyphen/>
          <w:t>7. MOVES Emissions Factor Post-processing to Be Performed by County and Year</w:t>
        </w:r>
        <w:r>
          <w:rPr>
            <w:noProof/>
            <w:webHidden/>
          </w:rPr>
          <w:tab/>
        </w:r>
        <w:r>
          <w:rPr>
            <w:noProof/>
            <w:webHidden/>
          </w:rPr>
          <w:fldChar w:fldCharType="begin"/>
        </w:r>
        <w:r>
          <w:rPr>
            <w:noProof/>
            <w:webHidden/>
          </w:rPr>
          <w:instrText xml:space="preserve"> PAGEREF _Toc190183129 \h </w:instrText>
        </w:r>
        <w:r>
          <w:rPr>
            <w:noProof/>
            <w:webHidden/>
          </w:rPr>
        </w:r>
        <w:r>
          <w:rPr>
            <w:noProof/>
            <w:webHidden/>
          </w:rPr>
          <w:fldChar w:fldCharType="separate"/>
        </w:r>
        <w:r w:rsidR="006C29B6">
          <w:rPr>
            <w:noProof/>
            <w:webHidden/>
          </w:rPr>
          <w:t>40</w:t>
        </w:r>
        <w:r>
          <w:rPr>
            <w:noProof/>
            <w:webHidden/>
          </w:rPr>
          <w:fldChar w:fldCharType="end"/>
        </w:r>
      </w:hyperlink>
    </w:p>
    <w:p w14:paraId="3EF9E6F4" w14:textId="59B7CF56" w:rsidR="00514311" w:rsidRDefault="00514311">
      <w:pPr>
        <w:pStyle w:val="TableofFigures"/>
        <w:tabs>
          <w:tab w:val="right" w:leader="dot" w:pos="9350"/>
        </w:tabs>
        <w:rPr>
          <w:rFonts w:asciiTheme="minorHAnsi" w:eastAsiaTheme="minorEastAsia" w:hAnsiTheme="minorHAnsi"/>
          <w:noProof/>
          <w:szCs w:val="24"/>
        </w:rPr>
      </w:pPr>
      <w:hyperlink w:anchor="_Toc190183130" w:history="1">
        <w:r w:rsidRPr="00CD612E">
          <w:rPr>
            <w:rStyle w:val="Hyperlink"/>
            <w:noProof/>
          </w:rPr>
          <w:t>Table 5</w:t>
        </w:r>
        <w:r w:rsidRPr="00CD612E">
          <w:rPr>
            <w:rStyle w:val="Hyperlink"/>
            <w:noProof/>
          </w:rPr>
          <w:noBreakHyphen/>
          <w:t>8. Emission Controls Used for Conformity Credit</w:t>
        </w:r>
        <w:r>
          <w:rPr>
            <w:noProof/>
            <w:webHidden/>
          </w:rPr>
          <w:tab/>
        </w:r>
        <w:r>
          <w:rPr>
            <w:noProof/>
            <w:webHidden/>
          </w:rPr>
          <w:fldChar w:fldCharType="begin"/>
        </w:r>
        <w:r>
          <w:rPr>
            <w:noProof/>
            <w:webHidden/>
          </w:rPr>
          <w:instrText xml:space="preserve"> PAGEREF _Toc190183130 \h </w:instrText>
        </w:r>
        <w:r>
          <w:rPr>
            <w:noProof/>
            <w:webHidden/>
          </w:rPr>
        </w:r>
        <w:r>
          <w:rPr>
            <w:noProof/>
            <w:webHidden/>
          </w:rPr>
          <w:fldChar w:fldCharType="separate"/>
        </w:r>
        <w:r w:rsidR="006C29B6">
          <w:rPr>
            <w:noProof/>
            <w:webHidden/>
          </w:rPr>
          <w:t>41</w:t>
        </w:r>
        <w:r>
          <w:rPr>
            <w:noProof/>
            <w:webHidden/>
          </w:rPr>
          <w:fldChar w:fldCharType="end"/>
        </w:r>
      </w:hyperlink>
    </w:p>
    <w:p w14:paraId="141E00BA" w14:textId="7F631D7B" w:rsidR="00514311" w:rsidRDefault="00514311">
      <w:pPr>
        <w:pStyle w:val="TableofFigures"/>
        <w:tabs>
          <w:tab w:val="right" w:leader="dot" w:pos="9350"/>
        </w:tabs>
        <w:rPr>
          <w:rFonts w:asciiTheme="minorHAnsi" w:eastAsiaTheme="minorEastAsia" w:hAnsiTheme="minorHAnsi"/>
          <w:noProof/>
          <w:szCs w:val="24"/>
        </w:rPr>
      </w:pPr>
      <w:hyperlink w:anchor="_Toc190183131" w:history="1">
        <w:r w:rsidRPr="00CD612E">
          <w:rPr>
            <w:rStyle w:val="Hyperlink"/>
            <w:noProof/>
          </w:rPr>
          <w:t>Table 6</w:t>
        </w:r>
        <w:r w:rsidRPr="00CD612E">
          <w:rPr>
            <w:rStyle w:val="Hyperlink"/>
            <w:noProof/>
          </w:rPr>
          <w:noBreakHyphen/>
          <w:t>1. For nonattainment or maintenance areas with adequate or approved SIP MVEB(s)</w:t>
        </w:r>
        <w:r>
          <w:rPr>
            <w:noProof/>
            <w:webHidden/>
          </w:rPr>
          <w:tab/>
        </w:r>
        <w:r>
          <w:rPr>
            <w:noProof/>
            <w:webHidden/>
          </w:rPr>
          <w:fldChar w:fldCharType="begin"/>
        </w:r>
        <w:r>
          <w:rPr>
            <w:noProof/>
            <w:webHidden/>
          </w:rPr>
          <w:instrText xml:space="preserve"> PAGEREF _Toc190183131 \h </w:instrText>
        </w:r>
        <w:r>
          <w:rPr>
            <w:noProof/>
            <w:webHidden/>
          </w:rPr>
        </w:r>
        <w:r>
          <w:rPr>
            <w:noProof/>
            <w:webHidden/>
          </w:rPr>
          <w:fldChar w:fldCharType="separate"/>
        </w:r>
        <w:r w:rsidR="006C29B6">
          <w:rPr>
            <w:noProof/>
            <w:webHidden/>
          </w:rPr>
          <w:t>43</w:t>
        </w:r>
        <w:r>
          <w:rPr>
            <w:noProof/>
            <w:webHidden/>
          </w:rPr>
          <w:fldChar w:fldCharType="end"/>
        </w:r>
      </w:hyperlink>
    </w:p>
    <w:p w14:paraId="5E0E8A21" w14:textId="782AB623" w:rsidR="00514311" w:rsidRDefault="00514311">
      <w:pPr>
        <w:pStyle w:val="TableofFigures"/>
        <w:tabs>
          <w:tab w:val="right" w:leader="dot" w:pos="9350"/>
        </w:tabs>
        <w:rPr>
          <w:rFonts w:asciiTheme="minorHAnsi" w:eastAsiaTheme="minorEastAsia" w:hAnsiTheme="minorHAnsi"/>
          <w:noProof/>
          <w:szCs w:val="24"/>
        </w:rPr>
      </w:pPr>
      <w:hyperlink w:anchor="_Toc190183132" w:history="1">
        <w:r w:rsidRPr="00CD612E">
          <w:rPr>
            <w:rStyle w:val="Hyperlink"/>
            <w:noProof/>
          </w:rPr>
          <w:t>Table 6</w:t>
        </w:r>
        <w:r w:rsidRPr="00CD612E">
          <w:rPr>
            <w:rStyle w:val="Hyperlink"/>
            <w:noProof/>
          </w:rPr>
          <w:noBreakHyphen/>
          <w:t>2. Sum of MoSERS Benefits</w:t>
        </w:r>
        <w:r>
          <w:rPr>
            <w:noProof/>
            <w:webHidden/>
          </w:rPr>
          <w:tab/>
        </w:r>
        <w:r>
          <w:rPr>
            <w:noProof/>
            <w:webHidden/>
          </w:rPr>
          <w:fldChar w:fldCharType="begin"/>
        </w:r>
        <w:r>
          <w:rPr>
            <w:noProof/>
            <w:webHidden/>
          </w:rPr>
          <w:instrText xml:space="preserve"> PAGEREF _Toc190183132 \h </w:instrText>
        </w:r>
        <w:r>
          <w:rPr>
            <w:noProof/>
            <w:webHidden/>
          </w:rPr>
        </w:r>
        <w:r>
          <w:rPr>
            <w:noProof/>
            <w:webHidden/>
          </w:rPr>
          <w:fldChar w:fldCharType="separate"/>
        </w:r>
        <w:r w:rsidR="006C29B6">
          <w:rPr>
            <w:noProof/>
            <w:webHidden/>
          </w:rPr>
          <w:t>44</w:t>
        </w:r>
        <w:r>
          <w:rPr>
            <w:noProof/>
            <w:webHidden/>
          </w:rPr>
          <w:fldChar w:fldCharType="end"/>
        </w:r>
      </w:hyperlink>
    </w:p>
    <w:p w14:paraId="6ED5F46B" w14:textId="00093181" w:rsidR="00514311" w:rsidRDefault="00514311">
      <w:pPr>
        <w:pStyle w:val="TableofFigures"/>
        <w:tabs>
          <w:tab w:val="right" w:leader="dot" w:pos="9350"/>
        </w:tabs>
        <w:rPr>
          <w:rFonts w:asciiTheme="minorHAnsi" w:eastAsiaTheme="minorEastAsia" w:hAnsiTheme="minorHAnsi"/>
          <w:noProof/>
          <w:szCs w:val="24"/>
        </w:rPr>
      </w:pPr>
      <w:hyperlink w:anchor="_Toc190183133" w:history="1">
        <w:r w:rsidRPr="00CD612E">
          <w:rPr>
            <w:rStyle w:val="Hyperlink"/>
            <w:noProof/>
          </w:rPr>
          <w:t>Table 6</w:t>
        </w:r>
        <w:r w:rsidRPr="00CD612E">
          <w:rPr>
            <w:rStyle w:val="Hyperlink"/>
            <w:noProof/>
          </w:rPr>
          <w:noBreakHyphen/>
          <w:t>3. For nonattainment or maintenance areas with adequate or approved SIP MVEB(s)</w:t>
        </w:r>
        <w:r>
          <w:rPr>
            <w:noProof/>
            <w:webHidden/>
          </w:rPr>
          <w:tab/>
        </w:r>
        <w:r>
          <w:rPr>
            <w:noProof/>
            <w:webHidden/>
          </w:rPr>
          <w:fldChar w:fldCharType="begin"/>
        </w:r>
        <w:r>
          <w:rPr>
            <w:noProof/>
            <w:webHidden/>
          </w:rPr>
          <w:instrText xml:space="preserve"> PAGEREF _Toc190183133 \h </w:instrText>
        </w:r>
        <w:r>
          <w:rPr>
            <w:noProof/>
            <w:webHidden/>
          </w:rPr>
        </w:r>
        <w:r>
          <w:rPr>
            <w:noProof/>
            <w:webHidden/>
          </w:rPr>
          <w:fldChar w:fldCharType="separate"/>
        </w:r>
        <w:r w:rsidR="006C29B6">
          <w:rPr>
            <w:noProof/>
            <w:webHidden/>
          </w:rPr>
          <w:t>45</w:t>
        </w:r>
        <w:r>
          <w:rPr>
            <w:noProof/>
            <w:webHidden/>
          </w:rPr>
          <w:fldChar w:fldCharType="end"/>
        </w:r>
      </w:hyperlink>
    </w:p>
    <w:p w14:paraId="210EA44F" w14:textId="6EDE99B5" w:rsidR="00514311" w:rsidRDefault="00514311">
      <w:pPr>
        <w:pStyle w:val="TableofFigures"/>
        <w:tabs>
          <w:tab w:val="right" w:leader="dot" w:pos="9350"/>
        </w:tabs>
        <w:rPr>
          <w:rFonts w:asciiTheme="minorHAnsi" w:eastAsiaTheme="minorEastAsia" w:hAnsiTheme="minorHAnsi"/>
          <w:noProof/>
          <w:szCs w:val="24"/>
        </w:rPr>
      </w:pPr>
      <w:hyperlink w:anchor="_Toc190183134" w:history="1">
        <w:r w:rsidRPr="00CD612E">
          <w:rPr>
            <w:rStyle w:val="Hyperlink"/>
            <w:noProof/>
          </w:rPr>
          <w:t>Table 8</w:t>
        </w:r>
        <w:r w:rsidRPr="00CD612E">
          <w:rPr>
            <w:rStyle w:val="Hyperlink"/>
            <w:noProof/>
          </w:rPr>
          <w:noBreakHyphen/>
          <w:t>1. Public Involving Meeting Information</w:t>
        </w:r>
        <w:r>
          <w:rPr>
            <w:noProof/>
            <w:webHidden/>
          </w:rPr>
          <w:tab/>
        </w:r>
        <w:r>
          <w:rPr>
            <w:noProof/>
            <w:webHidden/>
          </w:rPr>
          <w:fldChar w:fldCharType="begin"/>
        </w:r>
        <w:r>
          <w:rPr>
            <w:noProof/>
            <w:webHidden/>
          </w:rPr>
          <w:instrText xml:space="preserve"> PAGEREF _Toc190183134 \h </w:instrText>
        </w:r>
        <w:r>
          <w:rPr>
            <w:noProof/>
            <w:webHidden/>
          </w:rPr>
        </w:r>
        <w:r>
          <w:rPr>
            <w:noProof/>
            <w:webHidden/>
          </w:rPr>
          <w:fldChar w:fldCharType="separate"/>
        </w:r>
        <w:r w:rsidR="006C29B6">
          <w:rPr>
            <w:noProof/>
            <w:webHidden/>
          </w:rPr>
          <w:t>47</w:t>
        </w:r>
        <w:r>
          <w:rPr>
            <w:noProof/>
            <w:webHidden/>
          </w:rPr>
          <w:fldChar w:fldCharType="end"/>
        </w:r>
      </w:hyperlink>
    </w:p>
    <w:p w14:paraId="6E7AF8DC" w14:textId="49C232DB" w:rsidR="000F4167" w:rsidRPr="00640D01" w:rsidRDefault="000F4167">
      <w:pPr>
        <w:spacing w:after="160" w:line="259" w:lineRule="auto"/>
      </w:pPr>
      <w:r w:rsidRPr="00640D01">
        <w:fldChar w:fldCharType="end"/>
      </w:r>
    </w:p>
    <w:p w14:paraId="034D65EF" w14:textId="77777777" w:rsidR="000F4167" w:rsidRPr="00640D01" w:rsidRDefault="000F4167" w:rsidP="000F4167">
      <w:pPr>
        <w:pStyle w:val="Heading1"/>
        <w:numPr>
          <w:ilvl w:val="0"/>
          <w:numId w:val="0"/>
        </w:numPr>
        <w:ind w:left="360" w:hanging="360"/>
      </w:pPr>
      <w:bookmarkStart w:id="8" w:name="_Toc190242671"/>
      <w:r w:rsidRPr="00640D01">
        <w:t>List of Figures</w:t>
      </w:r>
      <w:bookmarkEnd w:id="8"/>
    </w:p>
    <w:p w14:paraId="04E08597" w14:textId="30519738" w:rsidR="00514311" w:rsidRDefault="000F4167">
      <w:pPr>
        <w:pStyle w:val="TableofFigures"/>
        <w:tabs>
          <w:tab w:val="right" w:leader="dot" w:pos="9350"/>
        </w:tabs>
        <w:rPr>
          <w:rFonts w:asciiTheme="minorHAnsi" w:eastAsiaTheme="minorEastAsia" w:hAnsiTheme="minorHAnsi"/>
          <w:noProof/>
          <w:szCs w:val="24"/>
        </w:rPr>
      </w:pPr>
      <w:r w:rsidRPr="00640D01">
        <w:fldChar w:fldCharType="begin"/>
      </w:r>
      <w:r w:rsidRPr="00640D01">
        <w:instrText xml:space="preserve"> TOC \h \z \c "Figure" </w:instrText>
      </w:r>
      <w:r w:rsidRPr="00640D01">
        <w:fldChar w:fldCharType="separate"/>
      </w:r>
      <w:hyperlink w:anchor="_Toc190183135" w:history="1">
        <w:r w:rsidR="00514311" w:rsidRPr="006455E5">
          <w:rPr>
            <w:rStyle w:val="Hyperlink"/>
            <w:noProof/>
          </w:rPr>
          <w:t>Figure 1</w:t>
        </w:r>
        <w:r w:rsidR="00514311" w:rsidRPr="006455E5">
          <w:rPr>
            <w:rStyle w:val="Hyperlink"/>
            <w:noProof/>
          </w:rPr>
          <w:noBreakHyphen/>
          <w:t>1. Beaumont-Port ArthurNonattainment and Maintenance Boundaries</w:t>
        </w:r>
        <w:r w:rsidR="00514311">
          <w:rPr>
            <w:noProof/>
            <w:webHidden/>
          </w:rPr>
          <w:tab/>
        </w:r>
        <w:r w:rsidR="00514311">
          <w:rPr>
            <w:noProof/>
            <w:webHidden/>
          </w:rPr>
          <w:fldChar w:fldCharType="begin"/>
        </w:r>
        <w:r w:rsidR="00514311">
          <w:rPr>
            <w:noProof/>
            <w:webHidden/>
          </w:rPr>
          <w:instrText xml:space="preserve"> PAGEREF _Toc190183135 \h </w:instrText>
        </w:r>
        <w:r w:rsidR="00514311">
          <w:rPr>
            <w:noProof/>
            <w:webHidden/>
          </w:rPr>
        </w:r>
        <w:r w:rsidR="00514311">
          <w:rPr>
            <w:noProof/>
            <w:webHidden/>
          </w:rPr>
          <w:fldChar w:fldCharType="separate"/>
        </w:r>
        <w:r w:rsidR="006C29B6">
          <w:rPr>
            <w:noProof/>
            <w:webHidden/>
          </w:rPr>
          <w:t>11</w:t>
        </w:r>
        <w:r w:rsidR="00514311">
          <w:rPr>
            <w:noProof/>
            <w:webHidden/>
          </w:rPr>
          <w:fldChar w:fldCharType="end"/>
        </w:r>
      </w:hyperlink>
    </w:p>
    <w:p w14:paraId="3471A69B" w14:textId="2123CAB4" w:rsidR="00514311" w:rsidRDefault="00514311">
      <w:pPr>
        <w:pStyle w:val="TableofFigures"/>
        <w:tabs>
          <w:tab w:val="right" w:leader="dot" w:pos="9350"/>
        </w:tabs>
        <w:rPr>
          <w:rFonts w:asciiTheme="minorHAnsi" w:eastAsiaTheme="minorEastAsia" w:hAnsiTheme="minorHAnsi"/>
          <w:noProof/>
          <w:szCs w:val="24"/>
        </w:rPr>
      </w:pPr>
      <w:hyperlink w:anchor="_Toc190183136" w:history="1">
        <w:r w:rsidRPr="006455E5">
          <w:rPr>
            <w:rStyle w:val="Hyperlink"/>
            <w:noProof/>
          </w:rPr>
          <w:t>Figure 3</w:t>
        </w:r>
        <w:r w:rsidRPr="006455E5">
          <w:rPr>
            <w:rStyle w:val="Hyperlink"/>
            <w:noProof/>
          </w:rPr>
          <w:noBreakHyphen/>
          <w:t>1. Regionally Significant Roads in the MPO MPA</w:t>
        </w:r>
        <w:r>
          <w:rPr>
            <w:noProof/>
            <w:webHidden/>
          </w:rPr>
          <w:tab/>
        </w:r>
        <w:r>
          <w:rPr>
            <w:noProof/>
            <w:webHidden/>
          </w:rPr>
          <w:fldChar w:fldCharType="begin"/>
        </w:r>
        <w:r>
          <w:rPr>
            <w:noProof/>
            <w:webHidden/>
          </w:rPr>
          <w:instrText xml:space="preserve"> PAGEREF _Toc190183136 \h </w:instrText>
        </w:r>
        <w:r>
          <w:rPr>
            <w:noProof/>
            <w:webHidden/>
          </w:rPr>
        </w:r>
        <w:r>
          <w:rPr>
            <w:noProof/>
            <w:webHidden/>
          </w:rPr>
          <w:fldChar w:fldCharType="separate"/>
        </w:r>
        <w:r w:rsidR="006C29B6">
          <w:rPr>
            <w:noProof/>
            <w:webHidden/>
          </w:rPr>
          <w:t>22</w:t>
        </w:r>
        <w:r>
          <w:rPr>
            <w:noProof/>
            <w:webHidden/>
          </w:rPr>
          <w:fldChar w:fldCharType="end"/>
        </w:r>
      </w:hyperlink>
    </w:p>
    <w:p w14:paraId="4C79538C" w14:textId="07115D5B" w:rsidR="00903ED7" w:rsidRPr="00640D01" w:rsidRDefault="000F4167" w:rsidP="000F4167">
      <w:r w:rsidRPr="00640D01">
        <w:fldChar w:fldCharType="end"/>
      </w:r>
    </w:p>
    <w:p w14:paraId="09EDCCCC" w14:textId="77777777" w:rsidR="005E740E" w:rsidRPr="00640D01" w:rsidRDefault="005E740E">
      <w:pPr>
        <w:spacing w:after="160" w:line="259" w:lineRule="auto"/>
        <w:rPr>
          <w:rFonts w:ascii="Times New Roman Bold" w:eastAsiaTheme="majorEastAsia" w:hAnsi="Times New Roman Bold" w:cstheme="majorBidi"/>
          <w:b/>
          <w:caps/>
          <w:color w:val="002060"/>
          <w:sz w:val="32"/>
          <w:szCs w:val="32"/>
        </w:rPr>
      </w:pPr>
      <w:r w:rsidRPr="00640D01">
        <w:br w:type="page"/>
      </w:r>
    </w:p>
    <w:p w14:paraId="1D166EC8" w14:textId="2D2545A6" w:rsidR="005E740E" w:rsidRPr="00640D01" w:rsidRDefault="00903ED7" w:rsidP="00903ED7">
      <w:pPr>
        <w:pStyle w:val="Heading1"/>
        <w:numPr>
          <w:ilvl w:val="0"/>
          <w:numId w:val="0"/>
        </w:numPr>
        <w:ind w:left="360" w:hanging="360"/>
      </w:pPr>
      <w:bookmarkStart w:id="9" w:name="_Toc190242672"/>
      <w:r w:rsidRPr="00640D01">
        <w:lastRenderedPageBreak/>
        <w:t>List of Abbreviations</w:t>
      </w:r>
      <w:bookmarkEnd w:id="9"/>
    </w:p>
    <w:p w14:paraId="223608FD" w14:textId="2DAD5352" w:rsidR="002B447F" w:rsidRPr="00D71BDA" w:rsidRDefault="002B447F" w:rsidP="00176A31">
      <w:pPr>
        <w:tabs>
          <w:tab w:val="left" w:pos="1440"/>
        </w:tabs>
        <w:rPr>
          <w:rFonts w:cs="Times New Roman"/>
          <w:szCs w:val="24"/>
        </w:rPr>
      </w:pPr>
      <w:r w:rsidRPr="00D71BDA">
        <w:rPr>
          <w:rFonts w:cs="Times New Roman"/>
          <w:szCs w:val="24"/>
        </w:rPr>
        <w:t>AADT</w:t>
      </w:r>
      <w:r w:rsidRPr="00D71BDA">
        <w:rPr>
          <w:rFonts w:cs="Times New Roman"/>
          <w:szCs w:val="24"/>
        </w:rPr>
        <w:tab/>
        <w:t>Average Annual Daily Traffic</w:t>
      </w:r>
    </w:p>
    <w:p w14:paraId="24B03156" w14:textId="4F9F05B4" w:rsidR="00843422" w:rsidRPr="00D71BDA" w:rsidRDefault="00843422" w:rsidP="00176A31">
      <w:pPr>
        <w:tabs>
          <w:tab w:val="left" w:pos="1440"/>
        </w:tabs>
        <w:rPr>
          <w:rFonts w:cs="Times New Roman"/>
          <w:szCs w:val="24"/>
        </w:rPr>
      </w:pPr>
      <w:r w:rsidRPr="00D71BDA">
        <w:rPr>
          <w:rFonts w:cs="Times New Roman"/>
          <w:szCs w:val="24"/>
        </w:rPr>
        <w:t>AERR</w:t>
      </w:r>
      <w:r w:rsidR="00DD7376" w:rsidRPr="00D71BDA">
        <w:rPr>
          <w:rFonts w:cs="Times New Roman"/>
          <w:szCs w:val="24"/>
        </w:rPr>
        <w:tab/>
        <w:t>Air Emissions Reporting Requirements</w:t>
      </w:r>
    </w:p>
    <w:p w14:paraId="03CBA900" w14:textId="56F6DFEE" w:rsidR="002B447F" w:rsidRPr="00D71BDA" w:rsidRDefault="002B447F" w:rsidP="00176A31">
      <w:pPr>
        <w:tabs>
          <w:tab w:val="left" w:pos="1440"/>
        </w:tabs>
        <w:rPr>
          <w:rFonts w:cs="Times New Roman"/>
          <w:szCs w:val="24"/>
        </w:rPr>
      </w:pPr>
      <w:r w:rsidRPr="00D71BDA">
        <w:rPr>
          <w:rFonts w:cs="Times New Roman"/>
          <w:szCs w:val="24"/>
        </w:rPr>
        <w:t>ANSWT</w:t>
      </w:r>
      <w:r w:rsidRPr="00D71BDA">
        <w:rPr>
          <w:rFonts w:cs="Times New Roman"/>
          <w:szCs w:val="24"/>
        </w:rPr>
        <w:tab/>
        <w:t>Average Non-summer Weekday Traffic</w:t>
      </w:r>
    </w:p>
    <w:p w14:paraId="6C8CFECE" w14:textId="22AAB205" w:rsidR="00B96607" w:rsidRPr="00D71BDA" w:rsidRDefault="00B96607" w:rsidP="00176A31">
      <w:pPr>
        <w:tabs>
          <w:tab w:val="left" w:pos="1440"/>
        </w:tabs>
        <w:rPr>
          <w:rFonts w:cs="Times New Roman"/>
          <w:szCs w:val="24"/>
        </w:rPr>
      </w:pPr>
      <w:r w:rsidRPr="00D71BDA">
        <w:rPr>
          <w:rFonts w:cs="Times New Roman"/>
          <w:szCs w:val="24"/>
        </w:rPr>
        <w:t>APU</w:t>
      </w:r>
      <w:r w:rsidRPr="00D71BDA">
        <w:rPr>
          <w:rFonts w:cs="Times New Roman"/>
          <w:szCs w:val="24"/>
        </w:rPr>
        <w:tab/>
        <w:t xml:space="preserve">Auxiliary </w:t>
      </w:r>
      <w:r w:rsidR="00E72601" w:rsidRPr="00D71BDA">
        <w:rPr>
          <w:rFonts w:cs="Times New Roman"/>
          <w:szCs w:val="24"/>
        </w:rPr>
        <w:t>P</w:t>
      </w:r>
      <w:r w:rsidRPr="00D71BDA">
        <w:rPr>
          <w:rFonts w:cs="Times New Roman"/>
          <w:szCs w:val="24"/>
        </w:rPr>
        <w:t xml:space="preserve">ower </w:t>
      </w:r>
      <w:r w:rsidR="00E72601" w:rsidRPr="00D71BDA">
        <w:rPr>
          <w:rFonts w:cs="Times New Roman"/>
          <w:szCs w:val="24"/>
        </w:rPr>
        <w:t>U</w:t>
      </w:r>
      <w:r w:rsidRPr="00D71BDA">
        <w:rPr>
          <w:rFonts w:cs="Times New Roman"/>
          <w:szCs w:val="24"/>
        </w:rPr>
        <w:t>nit</w:t>
      </w:r>
    </w:p>
    <w:p w14:paraId="78182782" w14:textId="097C2550" w:rsidR="00B96607" w:rsidRPr="00D71BDA" w:rsidRDefault="00B96607" w:rsidP="00176A31">
      <w:pPr>
        <w:tabs>
          <w:tab w:val="left" w:pos="1440"/>
        </w:tabs>
        <w:rPr>
          <w:rFonts w:cs="Times New Roman"/>
          <w:szCs w:val="24"/>
        </w:rPr>
      </w:pPr>
      <w:r w:rsidRPr="00D71BDA">
        <w:rPr>
          <w:rFonts w:cs="Times New Roman"/>
          <w:szCs w:val="24"/>
        </w:rPr>
        <w:t>ATR</w:t>
      </w:r>
      <w:r w:rsidRPr="00D71BDA">
        <w:rPr>
          <w:rFonts w:cs="Times New Roman"/>
          <w:szCs w:val="24"/>
        </w:rPr>
        <w:tab/>
        <w:t>Automated Traffic Recorder</w:t>
      </w:r>
    </w:p>
    <w:p w14:paraId="5C8F741B" w14:textId="21AF7BBB" w:rsidR="00E509F8" w:rsidRPr="00D71BDA" w:rsidRDefault="00E509F8" w:rsidP="002F320C">
      <w:pPr>
        <w:tabs>
          <w:tab w:val="left" w:pos="1440"/>
        </w:tabs>
        <w:rPr>
          <w:rFonts w:cs="Times New Roman"/>
          <w:szCs w:val="24"/>
        </w:rPr>
      </w:pPr>
      <w:r w:rsidRPr="00D71BDA">
        <w:rPr>
          <w:rFonts w:cs="Times New Roman"/>
          <w:szCs w:val="24"/>
        </w:rPr>
        <w:t>AVFT</w:t>
      </w:r>
      <w:r w:rsidRPr="00D71BDA">
        <w:rPr>
          <w:rFonts w:cs="Times New Roman"/>
          <w:szCs w:val="24"/>
        </w:rPr>
        <w:tab/>
        <w:t>Alternate Vehicle Fuel Technology</w:t>
      </w:r>
    </w:p>
    <w:p w14:paraId="685F37FF" w14:textId="54ACBF79" w:rsidR="00E509F8" w:rsidRPr="00D71BDA" w:rsidRDefault="00E509F8" w:rsidP="002F320C">
      <w:pPr>
        <w:tabs>
          <w:tab w:val="left" w:pos="1440"/>
        </w:tabs>
        <w:rPr>
          <w:rFonts w:cs="Times New Roman"/>
          <w:szCs w:val="24"/>
        </w:rPr>
      </w:pPr>
      <w:r w:rsidRPr="00D71BDA">
        <w:rPr>
          <w:rFonts w:cs="Times New Roman"/>
          <w:szCs w:val="24"/>
        </w:rPr>
        <w:t>BD</w:t>
      </w:r>
      <w:r w:rsidRPr="00D71BDA">
        <w:rPr>
          <w:rFonts w:cs="Times New Roman"/>
          <w:szCs w:val="24"/>
        </w:rPr>
        <w:tab/>
      </w:r>
      <w:r w:rsidRPr="00D71BDA">
        <w:rPr>
          <w:rStyle w:val="BodyTextChar"/>
          <w:rFonts w:cs="Times New Roman"/>
          <w:szCs w:val="24"/>
        </w:rPr>
        <w:t>Biodiesel</w:t>
      </w:r>
    </w:p>
    <w:p w14:paraId="51B09E09" w14:textId="7AB02A14" w:rsidR="00B96607" w:rsidRPr="00D71BDA" w:rsidRDefault="00B96607" w:rsidP="00176A31">
      <w:pPr>
        <w:tabs>
          <w:tab w:val="left" w:pos="1440"/>
        </w:tabs>
        <w:rPr>
          <w:rFonts w:cs="Times New Roman"/>
          <w:szCs w:val="24"/>
        </w:rPr>
      </w:pPr>
      <w:r w:rsidRPr="00D71BDA">
        <w:rPr>
          <w:rFonts w:cs="Times New Roman"/>
          <w:szCs w:val="24"/>
        </w:rPr>
        <w:t>CAAA</w:t>
      </w:r>
      <w:r w:rsidRPr="00D71BDA">
        <w:rPr>
          <w:rFonts w:cs="Times New Roman"/>
          <w:szCs w:val="24"/>
        </w:rPr>
        <w:tab/>
        <w:t>Clean Air Act Amendments</w:t>
      </w:r>
      <w:r w:rsidR="00492C78" w:rsidRPr="00D71BDA">
        <w:rPr>
          <w:rFonts w:cs="Times New Roman"/>
          <w:szCs w:val="24"/>
        </w:rPr>
        <w:t xml:space="preserve"> of 1990</w:t>
      </w:r>
    </w:p>
    <w:p w14:paraId="0D434815" w14:textId="017E1E6E" w:rsidR="00046926" w:rsidRPr="00D71BDA" w:rsidRDefault="00046926" w:rsidP="00176A31">
      <w:pPr>
        <w:tabs>
          <w:tab w:val="left" w:pos="1440"/>
        </w:tabs>
        <w:rPr>
          <w:rFonts w:cs="Times New Roman"/>
          <w:szCs w:val="24"/>
        </w:rPr>
      </w:pPr>
      <w:r w:rsidRPr="00D71BDA">
        <w:rPr>
          <w:rFonts w:cs="Times New Roman"/>
          <w:szCs w:val="24"/>
        </w:rPr>
        <w:t>CFR</w:t>
      </w:r>
      <w:r w:rsidRPr="00D71BDA">
        <w:rPr>
          <w:rFonts w:cs="Times New Roman"/>
          <w:szCs w:val="24"/>
        </w:rPr>
        <w:tab/>
        <w:t>Code of Federal Regulations</w:t>
      </w:r>
    </w:p>
    <w:p w14:paraId="3E174189" w14:textId="57B8834B" w:rsidR="00E509F8" w:rsidRPr="00D71BDA" w:rsidRDefault="00E509F8" w:rsidP="002F320C">
      <w:pPr>
        <w:tabs>
          <w:tab w:val="left" w:pos="1440"/>
        </w:tabs>
        <w:rPr>
          <w:rFonts w:cs="Times New Roman"/>
          <w:szCs w:val="24"/>
        </w:rPr>
      </w:pPr>
      <w:r w:rsidRPr="00D71BDA">
        <w:rPr>
          <w:rFonts w:cs="Times New Roman"/>
          <w:szCs w:val="24"/>
        </w:rPr>
        <w:t>CG</w:t>
      </w:r>
      <w:r w:rsidRPr="00D71BDA">
        <w:rPr>
          <w:rFonts w:cs="Times New Roman"/>
          <w:szCs w:val="24"/>
        </w:rPr>
        <w:tab/>
      </w:r>
      <w:r w:rsidRPr="00D71BDA">
        <w:rPr>
          <w:rStyle w:val="BodyTextChar"/>
          <w:rFonts w:cs="Times New Roman"/>
          <w:szCs w:val="24"/>
        </w:rPr>
        <w:t>Conventional Gasoline</w:t>
      </w:r>
    </w:p>
    <w:p w14:paraId="7FABAA30" w14:textId="5E622518" w:rsidR="00B96607" w:rsidRPr="00D71BDA" w:rsidRDefault="00B96607" w:rsidP="00176A31">
      <w:pPr>
        <w:tabs>
          <w:tab w:val="left" w:pos="1440"/>
        </w:tabs>
        <w:rPr>
          <w:rFonts w:cs="Times New Roman"/>
          <w:szCs w:val="24"/>
        </w:rPr>
      </w:pPr>
      <w:r w:rsidRPr="00D71BDA">
        <w:rPr>
          <w:rFonts w:cs="Times New Roman"/>
          <w:szCs w:val="24"/>
        </w:rPr>
        <w:t>CMAQ</w:t>
      </w:r>
      <w:r w:rsidR="002F320C" w:rsidRPr="00D71BDA">
        <w:rPr>
          <w:rFonts w:cs="Times New Roman"/>
          <w:szCs w:val="24"/>
        </w:rPr>
        <w:tab/>
      </w:r>
      <w:r w:rsidRPr="00D71BDA">
        <w:rPr>
          <w:rFonts w:cs="Times New Roman"/>
          <w:szCs w:val="24"/>
        </w:rPr>
        <w:t>Congestion Mitigation and Air Quality Improvement Program</w:t>
      </w:r>
    </w:p>
    <w:p w14:paraId="5D7D4157" w14:textId="3E08BD5C" w:rsidR="00E509F8" w:rsidRPr="00D71BDA" w:rsidRDefault="00E509F8" w:rsidP="002F320C">
      <w:pPr>
        <w:tabs>
          <w:tab w:val="left" w:pos="1440"/>
        </w:tabs>
        <w:rPr>
          <w:rFonts w:cs="Times New Roman"/>
          <w:szCs w:val="24"/>
        </w:rPr>
      </w:pPr>
      <w:r w:rsidRPr="00D71BDA">
        <w:rPr>
          <w:rFonts w:cs="Times New Roman"/>
          <w:szCs w:val="24"/>
        </w:rPr>
        <w:t>CNG</w:t>
      </w:r>
      <w:r w:rsidRPr="00D71BDA">
        <w:rPr>
          <w:rFonts w:cs="Times New Roman"/>
          <w:szCs w:val="24"/>
        </w:rPr>
        <w:tab/>
        <w:t>Compressed Natural Gas</w:t>
      </w:r>
    </w:p>
    <w:p w14:paraId="32FFCD71" w14:textId="76360054" w:rsidR="00492C78" w:rsidRPr="00D71BDA" w:rsidRDefault="00492C78" w:rsidP="002F320C">
      <w:pPr>
        <w:tabs>
          <w:tab w:val="left" w:pos="1440"/>
        </w:tabs>
        <w:rPr>
          <w:rFonts w:cs="Times New Roman"/>
          <w:szCs w:val="24"/>
        </w:rPr>
      </w:pPr>
      <w:r w:rsidRPr="00D71BDA">
        <w:rPr>
          <w:rFonts w:cs="Times New Roman"/>
          <w:szCs w:val="24"/>
        </w:rPr>
        <w:t>CO</w:t>
      </w:r>
      <w:r w:rsidRPr="00D71BDA">
        <w:rPr>
          <w:rFonts w:cs="Times New Roman"/>
          <w:szCs w:val="24"/>
        </w:rPr>
        <w:tab/>
        <w:t>Carbon Monoxide</w:t>
      </w:r>
    </w:p>
    <w:p w14:paraId="4CF3539E" w14:textId="080AE544" w:rsidR="00E509F8" w:rsidRPr="00D71BDA" w:rsidRDefault="00E509F8" w:rsidP="002F320C">
      <w:pPr>
        <w:tabs>
          <w:tab w:val="left" w:pos="1440"/>
        </w:tabs>
        <w:rPr>
          <w:rFonts w:cs="Times New Roman"/>
          <w:szCs w:val="24"/>
        </w:rPr>
      </w:pPr>
      <w:r w:rsidRPr="00D71BDA">
        <w:rPr>
          <w:rFonts w:cs="Times New Roman"/>
          <w:szCs w:val="24"/>
        </w:rPr>
        <w:t>DFW</w:t>
      </w:r>
      <w:r w:rsidRPr="00D71BDA">
        <w:rPr>
          <w:rFonts w:cs="Times New Roman"/>
          <w:szCs w:val="24"/>
        </w:rPr>
        <w:tab/>
        <w:t>Dallas-Fort Worth</w:t>
      </w:r>
    </w:p>
    <w:p w14:paraId="77ACFB5B" w14:textId="4A670634" w:rsidR="00B96607" w:rsidRPr="00D71BDA" w:rsidRDefault="00B96607" w:rsidP="00176A31">
      <w:pPr>
        <w:tabs>
          <w:tab w:val="left" w:pos="1440"/>
        </w:tabs>
        <w:rPr>
          <w:rFonts w:cs="Times New Roman"/>
          <w:szCs w:val="24"/>
        </w:rPr>
      </w:pPr>
      <w:r w:rsidRPr="00D71BDA">
        <w:rPr>
          <w:rFonts w:cs="Times New Roman"/>
          <w:szCs w:val="24"/>
        </w:rPr>
        <w:t>DOE</w:t>
      </w:r>
      <w:r w:rsidRPr="00D71BDA">
        <w:rPr>
          <w:rFonts w:cs="Times New Roman"/>
          <w:szCs w:val="24"/>
        </w:rPr>
        <w:tab/>
        <w:t>Department of Energy</w:t>
      </w:r>
    </w:p>
    <w:p w14:paraId="4233BF14" w14:textId="6D65C7DD" w:rsidR="00B96607" w:rsidRPr="00D71BDA" w:rsidRDefault="00B96607" w:rsidP="00176A31">
      <w:pPr>
        <w:tabs>
          <w:tab w:val="left" w:pos="1440"/>
        </w:tabs>
        <w:rPr>
          <w:rFonts w:cs="Times New Roman"/>
          <w:szCs w:val="24"/>
        </w:rPr>
      </w:pPr>
      <w:r w:rsidRPr="00D71BDA">
        <w:rPr>
          <w:rFonts w:cs="Times New Roman"/>
          <w:szCs w:val="24"/>
        </w:rPr>
        <w:t>DOT</w:t>
      </w:r>
      <w:r w:rsidRPr="00D71BDA">
        <w:rPr>
          <w:rFonts w:cs="Times New Roman"/>
          <w:szCs w:val="24"/>
        </w:rPr>
        <w:tab/>
        <w:t>Department of Transportation</w:t>
      </w:r>
    </w:p>
    <w:p w14:paraId="208B459D" w14:textId="1F2AB107" w:rsidR="00D71BDA" w:rsidRPr="00D71BDA" w:rsidRDefault="00D71BDA" w:rsidP="00D71BDA">
      <w:pPr>
        <w:rPr>
          <w:rFonts w:cs="Times New Roman"/>
          <w:szCs w:val="24"/>
        </w:rPr>
      </w:pPr>
      <w:r w:rsidRPr="00D71BDA">
        <w:rPr>
          <w:rFonts w:cs="Times New Roman"/>
          <w:szCs w:val="24"/>
        </w:rPr>
        <w:t>E200</w:t>
      </w:r>
      <w:r w:rsidRPr="00D71BDA">
        <w:rPr>
          <w:rFonts w:cs="Times New Roman"/>
          <w:szCs w:val="24"/>
        </w:rPr>
        <w:tab/>
      </w:r>
      <w:r w:rsidRPr="00D71BDA">
        <w:rPr>
          <w:rFonts w:cs="Times New Roman"/>
          <w:szCs w:val="24"/>
        </w:rPr>
        <w:tab/>
        <w:t>Lower Volatility Percentage</w:t>
      </w:r>
    </w:p>
    <w:p w14:paraId="30A1E5E7" w14:textId="43D61722" w:rsidR="00D71BDA" w:rsidRPr="00D71BDA" w:rsidRDefault="00D71BDA" w:rsidP="00D71BDA">
      <w:pPr>
        <w:rPr>
          <w:rFonts w:cs="Times New Roman"/>
          <w:szCs w:val="24"/>
        </w:rPr>
      </w:pPr>
      <w:r w:rsidRPr="00D71BDA">
        <w:rPr>
          <w:rFonts w:cs="Times New Roman"/>
          <w:szCs w:val="24"/>
        </w:rPr>
        <w:t>E300</w:t>
      </w:r>
      <w:r w:rsidRPr="00D71BDA">
        <w:rPr>
          <w:rFonts w:cs="Times New Roman"/>
          <w:szCs w:val="24"/>
        </w:rPr>
        <w:tab/>
      </w:r>
      <w:r w:rsidRPr="00D71BDA">
        <w:rPr>
          <w:rFonts w:cs="Times New Roman"/>
          <w:szCs w:val="24"/>
        </w:rPr>
        <w:tab/>
        <w:t>Upper Volatility Percentage</w:t>
      </w:r>
    </w:p>
    <w:p w14:paraId="232376AA" w14:textId="74B1545B" w:rsidR="00843422" w:rsidRPr="00D71BDA" w:rsidRDefault="00843422" w:rsidP="00176A31">
      <w:pPr>
        <w:tabs>
          <w:tab w:val="left" w:pos="1440"/>
        </w:tabs>
        <w:rPr>
          <w:rFonts w:cs="Times New Roman"/>
          <w:szCs w:val="24"/>
        </w:rPr>
      </w:pPr>
      <w:r w:rsidRPr="00D71BDA">
        <w:rPr>
          <w:rFonts w:cs="Times New Roman"/>
          <w:szCs w:val="24"/>
        </w:rPr>
        <w:t>EI</w:t>
      </w:r>
      <w:r w:rsidR="00DD7376" w:rsidRPr="00D71BDA">
        <w:rPr>
          <w:rFonts w:cs="Times New Roman"/>
          <w:szCs w:val="24"/>
        </w:rPr>
        <w:tab/>
        <w:t>Emissions Inventory</w:t>
      </w:r>
    </w:p>
    <w:p w14:paraId="56364731" w14:textId="51FE16A0" w:rsidR="00B96607" w:rsidRPr="00D71BDA" w:rsidRDefault="00B96607" w:rsidP="00176A31">
      <w:pPr>
        <w:tabs>
          <w:tab w:val="left" w:pos="1440"/>
        </w:tabs>
        <w:rPr>
          <w:rFonts w:cs="Times New Roman"/>
          <w:szCs w:val="24"/>
        </w:rPr>
      </w:pPr>
      <w:r w:rsidRPr="00D71BDA">
        <w:rPr>
          <w:rFonts w:cs="Times New Roman"/>
          <w:szCs w:val="24"/>
        </w:rPr>
        <w:t>EPA</w:t>
      </w:r>
      <w:r w:rsidRPr="00D71BDA">
        <w:rPr>
          <w:rFonts w:cs="Times New Roman"/>
          <w:szCs w:val="24"/>
        </w:rPr>
        <w:tab/>
        <w:t>Environmental Protection Agency</w:t>
      </w:r>
    </w:p>
    <w:p w14:paraId="74816B51" w14:textId="75C23D5C" w:rsidR="00D71BDA" w:rsidRPr="00D71BDA" w:rsidRDefault="00D71BDA" w:rsidP="00D71BDA">
      <w:pPr>
        <w:rPr>
          <w:rFonts w:cs="Times New Roman"/>
          <w:szCs w:val="24"/>
        </w:rPr>
      </w:pPr>
      <w:r w:rsidRPr="00D71BDA">
        <w:rPr>
          <w:rFonts w:cs="Times New Roman"/>
          <w:szCs w:val="24"/>
        </w:rPr>
        <w:t>ETBE</w:t>
      </w:r>
      <w:r w:rsidRPr="00D71BDA">
        <w:rPr>
          <w:rFonts w:cs="Times New Roman"/>
          <w:szCs w:val="24"/>
        </w:rPr>
        <w:tab/>
      </w:r>
      <w:r w:rsidRPr="00D71BDA">
        <w:rPr>
          <w:rFonts w:cs="Times New Roman"/>
          <w:szCs w:val="24"/>
        </w:rPr>
        <w:tab/>
        <w:t>Ethyl Tert-Butyl Ether</w:t>
      </w:r>
    </w:p>
    <w:p w14:paraId="43FE3E8B" w14:textId="2604623F" w:rsidR="00D71BDA" w:rsidRPr="00D71BDA" w:rsidRDefault="00D71BDA" w:rsidP="00D71BDA">
      <w:pPr>
        <w:rPr>
          <w:rFonts w:cs="Times New Roman"/>
          <w:szCs w:val="24"/>
        </w:rPr>
      </w:pPr>
      <w:r w:rsidRPr="00D71BDA">
        <w:rPr>
          <w:rFonts w:cs="Times New Roman"/>
          <w:szCs w:val="24"/>
        </w:rPr>
        <w:t>ETOH</w:t>
      </w:r>
      <w:r w:rsidRPr="00D71BDA">
        <w:rPr>
          <w:rFonts w:cs="Times New Roman"/>
          <w:szCs w:val="24"/>
        </w:rPr>
        <w:tab/>
      </w:r>
      <w:r w:rsidRPr="00D71BDA">
        <w:rPr>
          <w:rFonts w:cs="Times New Roman"/>
          <w:szCs w:val="24"/>
        </w:rPr>
        <w:tab/>
        <w:t>Ethanol</w:t>
      </w:r>
      <w:r w:rsidRPr="00D71BDA">
        <w:rPr>
          <w:rFonts w:cs="Times New Roman"/>
          <w:szCs w:val="24"/>
        </w:rPr>
        <w:tab/>
      </w:r>
    </w:p>
    <w:p w14:paraId="7B561656" w14:textId="1BB6E3CD" w:rsidR="00B96607" w:rsidRPr="00D71BDA" w:rsidRDefault="00B96607" w:rsidP="00176A31">
      <w:pPr>
        <w:tabs>
          <w:tab w:val="left" w:pos="1440"/>
        </w:tabs>
        <w:rPr>
          <w:rFonts w:cs="Times New Roman"/>
          <w:szCs w:val="24"/>
        </w:rPr>
      </w:pPr>
      <w:r w:rsidRPr="00D71BDA">
        <w:rPr>
          <w:rFonts w:cs="Times New Roman"/>
          <w:szCs w:val="24"/>
        </w:rPr>
        <w:t>FHWA</w:t>
      </w:r>
      <w:r w:rsidRPr="00D71BDA">
        <w:rPr>
          <w:rFonts w:cs="Times New Roman"/>
          <w:szCs w:val="24"/>
        </w:rPr>
        <w:tab/>
        <w:t>Federal Highway Administration</w:t>
      </w:r>
    </w:p>
    <w:p w14:paraId="30A3E4E4" w14:textId="524DE39F" w:rsidR="00B96607" w:rsidRPr="00D71BDA" w:rsidRDefault="00B96607" w:rsidP="002F320C">
      <w:pPr>
        <w:tabs>
          <w:tab w:val="left" w:pos="1440"/>
        </w:tabs>
        <w:rPr>
          <w:rFonts w:cs="Times New Roman"/>
          <w:szCs w:val="24"/>
        </w:rPr>
      </w:pPr>
      <w:r w:rsidRPr="00D71BDA">
        <w:rPr>
          <w:rFonts w:cs="Times New Roman"/>
          <w:szCs w:val="24"/>
        </w:rPr>
        <w:t>FTA</w:t>
      </w:r>
      <w:r w:rsidRPr="00D71BDA">
        <w:rPr>
          <w:rFonts w:cs="Times New Roman"/>
          <w:szCs w:val="24"/>
        </w:rPr>
        <w:tab/>
        <w:t>Federal Transit Administration</w:t>
      </w:r>
    </w:p>
    <w:p w14:paraId="0E6E1D33" w14:textId="2EE86DBA" w:rsidR="00E509F8" w:rsidRPr="00D71BDA" w:rsidRDefault="00E509F8" w:rsidP="00176A31">
      <w:pPr>
        <w:tabs>
          <w:tab w:val="left" w:pos="1440"/>
        </w:tabs>
        <w:rPr>
          <w:rFonts w:cs="Times New Roman"/>
          <w:szCs w:val="24"/>
        </w:rPr>
      </w:pPr>
      <w:r w:rsidRPr="00D71BDA">
        <w:rPr>
          <w:rFonts w:cs="Times New Roman"/>
          <w:szCs w:val="24"/>
        </w:rPr>
        <w:t>GVWR</w:t>
      </w:r>
      <w:r w:rsidRPr="00D71BDA">
        <w:rPr>
          <w:rFonts w:cs="Times New Roman"/>
          <w:szCs w:val="24"/>
        </w:rPr>
        <w:tab/>
        <w:t>Gross Vehicle Weight Rating</w:t>
      </w:r>
    </w:p>
    <w:p w14:paraId="60A0025F" w14:textId="112234CA" w:rsidR="00A239E7" w:rsidRPr="00D71BDA" w:rsidRDefault="00A239E7" w:rsidP="00176A31">
      <w:pPr>
        <w:tabs>
          <w:tab w:val="left" w:pos="1440"/>
        </w:tabs>
        <w:rPr>
          <w:rFonts w:cs="Times New Roman"/>
          <w:szCs w:val="24"/>
        </w:rPr>
      </w:pPr>
      <w:r w:rsidRPr="00D71BDA">
        <w:rPr>
          <w:rFonts w:cs="Times New Roman"/>
          <w:szCs w:val="24"/>
        </w:rPr>
        <w:t>HC</w:t>
      </w:r>
      <w:r w:rsidRPr="00D71BDA">
        <w:rPr>
          <w:rFonts w:cs="Times New Roman"/>
          <w:szCs w:val="24"/>
        </w:rPr>
        <w:tab/>
        <w:t>Hydrocarbon</w:t>
      </w:r>
    </w:p>
    <w:p w14:paraId="207EEFB5" w14:textId="684FDDAE" w:rsidR="00382313" w:rsidRPr="00D71BDA" w:rsidRDefault="00382313" w:rsidP="002F320C">
      <w:pPr>
        <w:tabs>
          <w:tab w:val="left" w:pos="1440"/>
        </w:tabs>
        <w:rPr>
          <w:rFonts w:cs="Times New Roman"/>
          <w:szCs w:val="24"/>
        </w:rPr>
      </w:pPr>
      <w:r w:rsidRPr="00D71BDA">
        <w:rPr>
          <w:rFonts w:cs="Times New Roman"/>
          <w:szCs w:val="24"/>
        </w:rPr>
        <w:lastRenderedPageBreak/>
        <w:t>HPMS</w:t>
      </w:r>
      <w:r w:rsidRPr="00D71BDA">
        <w:rPr>
          <w:rFonts w:cs="Times New Roman"/>
          <w:szCs w:val="24"/>
        </w:rPr>
        <w:tab/>
      </w:r>
      <w:r w:rsidR="00CB31C0" w:rsidRPr="00D71BDA">
        <w:rPr>
          <w:rFonts w:cs="Times New Roman"/>
          <w:szCs w:val="24"/>
        </w:rPr>
        <w:t>Highway Performance Monitoring System</w:t>
      </w:r>
    </w:p>
    <w:p w14:paraId="7727634E" w14:textId="09483934" w:rsidR="00E509F8" w:rsidRPr="00D71BDA" w:rsidRDefault="00E509F8" w:rsidP="00176A31">
      <w:pPr>
        <w:tabs>
          <w:tab w:val="left" w:pos="1440"/>
        </w:tabs>
        <w:rPr>
          <w:rFonts w:cs="Times New Roman"/>
          <w:szCs w:val="24"/>
        </w:rPr>
      </w:pPr>
      <w:r w:rsidRPr="00D71BDA">
        <w:rPr>
          <w:rFonts w:cs="Times New Roman"/>
          <w:szCs w:val="24"/>
        </w:rPr>
        <w:t>I/M</w:t>
      </w:r>
      <w:r w:rsidRPr="00D71BDA">
        <w:rPr>
          <w:rFonts w:cs="Times New Roman"/>
          <w:szCs w:val="24"/>
        </w:rPr>
        <w:tab/>
        <w:t>Inspection and Maintenance</w:t>
      </w:r>
    </w:p>
    <w:p w14:paraId="1A90DE37" w14:textId="5AF8542B" w:rsidR="00B96607" w:rsidRPr="00D71BDA" w:rsidRDefault="00B96607" w:rsidP="00176A31">
      <w:pPr>
        <w:tabs>
          <w:tab w:val="left" w:pos="1440"/>
        </w:tabs>
        <w:rPr>
          <w:rFonts w:cs="Times New Roman"/>
          <w:szCs w:val="24"/>
        </w:rPr>
      </w:pPr>
      <w:r w:rsidRPr="00D71BDA">
        <w:rPr>
          <w:rFonts w:cs="Times New Roman"/>
          <w:szCs w:val="24"/>
        </w:rPr>
        <w:t>M</w:t>
      </w:r>
      <w:r w:rsidR="00017BCF" w:rsidRPr="00D71BDA">
        <w:rPr>
          <w:rFonts w:cs="Times New Roman"/>
          <w:szCs w:val="24"/>
        </w:rPr>
        <w:t>o</w:t>
      </w:r>
      <w:r w:rsidRPr="00D71BDA">
        <w:rPr>
          <w:rFonts w:cs="Times New Roman"/>
          <w:szCs w:val="24"/>
        </w:rPr>
        <w:t>SERS</w:t>
      </w:r>
      <w:r w:rsidR="00A25C02" w:rsidRPr="00D71BDA">
        <w:rPr>
          <w:rFonts w:cs="Times New Roman"/>
          <w:szCs w:val="24"/>
        </w:rPr>
        <w:tab/>
      </w:r>
      <w:r w:rsidRPr="00D71BDA">
        <w:rPr>
          <w:rFonts w:cs="Times New Roman"/>
          <w:szCs w:val="24"/>
        </w:rPr>
        <w:t>M</w:t>
      </w:r>
      <w:r w:rsidR="00017BCF" w:rsidRPr="00D71BDA">
        <w:rPr>
          <w:rFonts w:cs="Times New Roman"/>
          <w:szCs w:val="24"/>
        </w:rPr>
        <w:t>o</w:t>
      </w:r>
      <w:r w:rsidRPr="00D71BDA">
        <w:rPr>
          <w:rFonts w:cs="Times New Roman"/>
          <w:szCs w:val="24"/>
        </w:rPr>
        <w:t>bile Source Emission Reduction Strategies</w:t>
      </w:r>
    </w:p>
    <w:p w14:paraId="42A9A039" w14:textId="41E3DE21" w:rsidR="00B96607" w:rsidRPr="00D71BDA" w:rsidRDefault="00B96607" w:rsidP="00176A31">
      <w:pPr>
        <w:tabs>
          <w:tab w:val="left" w:pos="1440"/>
        </w:tabs>
        <w:rPr>
          <w:rFonts w:cs="Times New Roman"/>
          <w:szCs w:val="24"/>
        </w:rPr>
      </w:pPr>
      <w:r w:rsidRPr="00D71BDA">
        <w:rPr>
          <w:rFonts w:cs="Times New Roman"/>
          <w:szCs w:val="24"/>
        </w:rPr>
        <w:t>MOVES</w:t>
      </w:r>
      <w:r w:rsidR="00A25C02" w:rsidRPr="00D71BDA">
        <w:rPr>
          <w:rFonts w:cs="Times New Roman"/>
          <w:szCs w:val="24"/>
        </w:rPr>
        <w:tab/>
      </w:r>
      <w:r w:rsidRPr="00D71BDA">
        <w:rPr>
          <w:rFonts w:cs="Times New Roman"/>
          <w:szCs w:val="24"/>
        </w:rPr>
        <w:t>M</w:t>
      </w:r>
      <w:r w:rsidR="00E509F8" w:rsidRPr="00D71BDA">
        <w:rPr>
          <w:rFonts w:cs="Times New Roman"/>
          <w:szCs w:val="24"/>
        </w:rPr>
        <w:t>o</w:t>
      </w:r>
      <w:r w:rsidRPr="00D71BDA">
        <w:rPr>
          <w:rFonts w:cs="Times New Roman"/>
          <w:szCs w:val="24"/>
        </w:rPr>
        <w:t>tor Vehicle Emission Simulator</w:t>
      </w:r>
    </w:p>
    <w:p w14:paraId="49AB5D84" w14:textId="5DCD635D" w:rsidR="00843422" w:rsidRPr="00D71BDA" w:rsidRDefault="00843422" w:rsidP="00176A31">
      <w:pPr>
        <w:tabs>
          <w:tab w:val="left" w:pos="1440"/>
        </w:tabs>
        <w:rPr>
          <w:rFonts w:cs="Times New Roman"/>
          <w:szCs w:val="24"/>
        </w:rPr>
      </w:pPr>
      <w:r w:rsidRPr="00D71BDA">
        <w:rPr>
          <w:rFonts w:cs="Times New Roman"/>
          <w:szCs w:val="24"/>
        </w:rPr>
        <w:t>MPA</w:t>
      </w:r>
      <w:r w:rsidR="00DD7376" w:rsidRPr="00D71BDA">
        <w:rPr>
          <w:rFonts w:cs="Times New Roman"/>
          <w:szCs w:val="24"/>
        </w:rPr>
        <w:tab/>
        <w:t>Metropolitan Planning Area</w:t>
      </w:r>
    </w:p>
    <w:p w14:paraId="25715D51" w14:textId="2B69DCA6" w:rsidR="004C5DA4" w:rsidRPr="00D71BDA" w:rsidRDefault="004C5DA4" w:rsidP="00176A31">
      <w:pPr>
        <w:tabs>
          <w:tab w:val="left" w:pos="1440"/>
        </w:tabs>
        <w:rPr>
          <w:rFonts w:cs="Times New Roman"/>
          <w:szCs w:val="24"/>
        </w:rPr>
      </w:pPr>
      <w:r w:rsidRPr="00D71BDA">
        <w:rPr>
          <w:rFonts w:cs="Times New Roman"/>
          <w:szCs w:val="24"/>
        </w:rPr>
        <w:t>MPO</w:t>
      </w:r>
      <w:r w:rsidRPr="00D71BDA">
        <w:rPr>
          <w:rFonts w:cs="Times New Roman"/>
          <w:szCs w:val="24"/>
        </w:rPr>
        <w:tab/>
      </w:r>
      <w:r w:rsidR="00AE46C6" w:rsidRPr="00D71BDA">
        <w:rPr>
          <w:rFonts w:cs="Times New Roman"/>
          <w:szCs w:val="24"/>
        </w:rPr>
        <w:t>Metropolitan</w:t>
      </w:r>
      <w:r w:rsidRPr="00D71BDA">
        <w:rPr>
          <w:rFonts w:cs="Times New Roman"/>
          <w:szCs w:val="24"/>
        </w:rPr>
        <w:t xml:space="preserve"> Planning Organization</w:t>
      </w:r>
    </w:p>
    <w:p w14:paraId="2535D2A7" w14:textId="44CD1E9D" w:rsidR="00431FEB" w:rsidRDefault="00431FEB" w:rsidP="00176A31">
      <w:pPr>
        <w:tabs>
          <w:tab w:val="left" w:pos="1440"/>
        </w:tabs>
        <w:rPr>
          <w:rFonts w:cs="Times New Roman"/>
          <w:szCs w:val="24"/>
        </w:rPr>
      </w:pPr>
      <w:r>
        <w:rPr>
          <w:rFonts w:cs="Times New Roman"/>
          <w:szCs w:val="24"/>
        </w:rPr>
        <w:t>MTBE</w:t>
      </w:r>
      <w:r>
        <w:rPr>
          <w:rFonts w:cs="Times New Roman"/>
          <w:szCs w:val="24"/>
        </w:rPr>
        <w:tab/>
      </w:r>
      <w:r w:rsidRPr="00431FEB">
        <w:rPr>
          <w:rFonts w:cs="Times New Roman"/>
          <w:szCs w:val="24"/>
        </w:rPr>
        <w:t xml:space="preserve">Methyl </w:t>
      </w:r>
      <w:r>
        <w:rPr>
          <w:rFonts w:cs="Times New Roman"/>
          <w:szCs w:val="24"/>
        </w:rPr>
        <w:t>T</w:t>
      </w:r>
      <w:r w:rsidRPr="00431FEB">
        <w:rPr>
          <w:rFonts w:cs="Times New Roman"/>
          <w:szCs w:val="24"/>
        </w:rPr>
        <w:t>ert-</w:t>
      </w:r>
      <w:r>
        <w:rPr>
          <w:rFonts w:cs="Times New Roman"/>
          <w:szCs w:val="24"/>
        </w:rPr>
        <w:t>B</w:t>
      </w:r>
      <w:r w:rsidRPr="00431FEB">
        <w:rPr>
          <w:rFonts w:cs="Times New Roman"/>
          <w:szCs w:val="24"/>
        </w:rPr>
        <w:t xml:space="preserve">utyl </w:t>
      </w:r>
      <w:r>
        <w:rPr>
          <w:rFonts w:cs="Times New Roman"/>
          <w:szCs w:val="24"/>
        </w:rPr>
        <w:t>E</w:t>
      </w:r>
      <w:r w:rsidRPr="00431FEB">
        <w:rPr>
          <w:rFonts w:cs="Times New Roman"/>
          <w:szCs w:val="24"/>
        </w:rPr>
        <w:t>ther</w:t>
      </w:r>
    </w:p>
    <w:p w14:paraId="0074860C" w14:textId="16A3CE80" w:rsidR="00B96607" w:rsidRPr="00D71BDA" w:rsidRDefault="00B96607" w:rsidP="00176A31">
      <w:pPr>
        <w:tabs>
          <w:tab w:val="left" w:pos="1440"/>
        </w:tabs>
        <w:rPr>
          <w:rFonts w:cs="Times New Roman"/>
          <w:szCs w:val="24"/>
        </w:rPr>
      </w:pPr>
      <w:r w:rsidRPr="00D71BDA">
        <w:rPr>
          <w:rFonts w:cs="Times New Roman"/>
          <w:szCs w:val="24"/>
        </w:rPr>
        <w:t>MTP</w:t>
      </w:r>
      <w:r w:rsidRPr="00D71BDA">
        <w:rPr>
          <w:rFonts w:cs="Times New Roman"/>
          <w:szCs w:val="24"/>
        </w:rPr>
        <w:tab/>
        <w:t>Metropolitan Transportation Plan</w:t>
      </w:r>
    </w:p>
    <w:p w14:paraId="11473DF3" w14:textId="71519D9B" w:rsidR="00B96607" w:rsidRPr="00D71BDA" w:rsidRDefault="00B96607" w:rsidP="00176A31">
      <w:pPr>
        <w:tabs>
          <w:tab w:val="left" w:pos="1440"/>
        </w:tabs>
        <w:rPr>
          <w:rFonts w:cs="Times New Roman"/>
          <w:szCs w:val="24"/>
        </w:rPr>
      </w:pPr>
      <w:r w:rsidRPr="00D71BDA">
        <w:rPr>
          <w:rFonts w:cs="Times New Roman"/>
          <w:szCs w:val="24"/>
        </w:rPr>
        <w:t>MVEB</w:t>
      </w:r>
      <w:r w:rsidRPr="00D71BDA">
        <w:rPr>
          <w:rFonts w:cs="Times New Roman"/>
          <w:szCs w:val="24"/>
        </w:rPr>
        <w:tab/>
        <w:t>Motor Vehicle Emissions Budget</w:t>
      </w:r>
    </w:p>
    <w:p w14:paraId="7520409B" w14:textId="63182A8F" w:rsidR="00B96607" w:rsidRPr="00D71BDA" w:rsidRDefault="00B96607" w:rsidP="00176A31">
      <w:pPr>
        <w:tabs>
          <w:tab w:val="left" w:pos="1440"/>
        </w:tabs>
        <w:rPr>
          <w:rFonts w:cs="Times New Roman"/>
          <w:szCs w:val="24"/>
        </w:rPr>
      </w:pPr>
      <w:r w:rsidRPr="00D71BDA">
        <w:rPr>
          <w:rFonts w:cs="Times New Roman"/>
          <w:szCs w:val="24"/>
        </w:rPr>
        <w:t>NAAQS</w:t>
      </w:r>
      <w:r w:rsidR="00A25C02" w:rsidRPr="00D71BDA">
        <w:rPr>
          <w:rFonts w:cs="Times New Roman"/>
          <w:szCs w:val="24"/>
        </w:rPr>
        <w:tab/>
      </w:r>
      <w:r w:rsidRPr="00D71BDA">
        <w:rPr>
          <w:rFonts w:cs="Times New Roman"/>
          <w:szCs w:val="24"/>
        </w:rPr>
        <w:t>National Ambient Air Quality Standards</w:t>
      </w:r>
    </w:p>
    <w:p w14:paraId="4337417B" w14:textId="3125957A" w:rsidR="00843422" w:rsidRPr="00D71BDA" w:rsidRDefault="00843422" w:rsidP="00176A31">
      <w:pPr>
        <w:tabs>
          <w:tab w:val="left" w:pos="1440"/>
        </w:tabs>
        <w:rPr>
          <w:rFonts w:cs="Times New Roman"/>
          <w:szCs w:val="24"/>
        </w:rPr>
      </w:pPr>
      <w:r w:rsidRPr="00D71BDA">
        <w:rPr>
          <w:rFonts w:cs="Times New Roman"/>
          <w:szCs w:val="24"/>
        </w:rPr>
        <w:t>NOx</w:t>
      </w:r>
      <w:r w:rsidR="00DD7376" w:rsidRPr="00D71BDA">
        <w:rPr>
          <w:rFonts w:cs="Times New Roman"/>
          <w:szCs w:val="24"/>
        </w:rPr>
        <w:tab/>
        <w:t>Nitrogen Oxides</w:t>
      </w:r>
    </w:p>
    <w:p w14:paraId="1149493F" w14:textId="72AD502C" w:rsidR="00CA7E29" w:rsidRPr="00D71BDA" w:rsidRDefault="00CA7E29" w:rsidP="00176A31">
      <w:pPr>
        <w:tabs>
          <w:tab w:val="left" w:pos="1440"/>
        </w:tabs>
        <w:rPr>
          <w:rFonts w:cs="Times New Roman"/>
          <w:szCs w:val="24"/>
        </w:rPr>
      </w:pPr>
      <w:r w:rsidRPr="00D71BDA">
        <w:rPr>
          <w:rFonts w:cs="Times New Roman"/>
          <w:szCs w:val="24"/>
        </w:rPr>
        <w:t>OBD</w:t>
      </w:r>
      <w:r w:rsidRPr="00D71BDA">
        <w:rPr>
          <w:rFonts w:cs="Times New Roman"/>
          <w:szCs w:val="24"/>
        </w:rPr>
        <w:tab/>
        <w:t>On</w:t>
      </w:r>
      <w:r w:rsidR="00E509F8" w:rsidRPr="00D71BDA">
        <w:rPr>
          <w:rFonts w:cs="Times New Roman"/>
          <w:szCs w:val="24"/>
        </w:rPr>
        <w:t>b</w:t>
      </w:r>
      <w:r w:rsidRPr="00D71BDA">
        <w:rPr>
          <w:rFonts w:cs="Times New Roman"/>
          <w:szCs w:val="24"/>
        </w:rPr>
        <w:t xml:space="preserve">oard </w:t>
      </w:r>
      <w:r w:rsidR="00A25C02" w:rsidRPr="00D71BDA">
        <w:rPr>
          <w:rFonts w:cs="Times New Roman"/>
          <w:szCs w:val="24"/>
        </w:rPr>
        <w:t>D</w:t>
      </w:r>
      <w:r w:rsidRPr="00D71BDA">
        <w:rPr>
          <w:rFonts w:cs="Times New Roman"/>
          <w:szCs w:val="24"/>
        </w:rPr>
        <w:t>iagnostics</w:t>
      </w:r>
    </w:p>
    <w:p w14:paraId="715B81E3" w14:textId="7DE9A26A" w:rsidR="00B96607" w:rsidRPr="00D71BDA" w:rsidRDefault="00B96607" w:rsidP="002F320C">
      <w:pPr>
        <w:tabs>
          <w:tab w:val="left" w:pos="1440"/>
        </w:tabs>
        <w:rPr>
          <w:rFonts w:cs="Times New Roman"/>
          <w:szCs w:val="24"/>
        </w:rPr>
      </w:pPr>
      <w:r w:rsidRPr="00D71BDA">
        <w:rPr>
          <w:rFonts w:cs="Times New Roman"/>
          <w:szCs w:val="24"/>
        </w:rPr>
        <w:t>OD</w:t>
      </w:r>
      <w:r w:rsidRPr="00D71BDA">
        <w:rPr>
          <w:rFonts w:cs="Times New Roman"/>
          <w:szCs w:val="24"/>
        </w:rPr>
        <w:tab/>
        <w:t>Origin-</w:t>
      </w:r>
      <w:r w:rsidR="00B3109C" w:rsidRPr="00D71BDA">
        <w:rPr>
          <w:rFonts w:cs="Times New Roman"/>
          <w:szCs w:val="24"/>
        </w:rPr>
        <w:t>D</w:t>
      </w:r>
      <w:r w:rsidRPr="00D71BDA">
        <w:rPr>
          <w:rFonts w:cs="Times New Roman"/>
          <w:szCs w:val="24"/>
        </w:rPr>
        <w:t>estination</w:t>
      </w:r>
    </w:p>
    <w:p w14:paraId="4BB350A3" w14:textId="5A7D864E" w:rsidR="00E509F8" w:rsidRPr="00D71BDA" w:rsidRDefault="00E509F8" w:rsidP="00176A31">
      <w:pPr>
        <w:tabs>
          <w:tab w:val="left" w:pos="1440"/>
        </w:tabs>
        <w:rPr>
          <w:rFonts w:cs="Times New Roman"/>
          <w:szCs w:val="24"/>
        </w:rPr>
      </w:pPr>
      <w:r w:rsidRPr="00D71BDA">
        <w:rPr>
          <w:rFonts w:cs="Times New Roman"/>
          <w:szCs w:val="24"/>
        </w:rPr>
        <w:t>ONI</w:t>
      </w:r>
      <w:r w:rsidRPr="00D71BDA">
        <w:rPr>
          <w:rFonts w:cs="Times New Roman"/>
          <w:szCs w:val="24"/>
        </w:rPr>
        <w:tab/>
        <w:t>Off-Network Idling</w:t>
      </w:r>
    </w:p>
    <w:p w14:paraId="5E92E88F" w14:textId="741CF0CB" w:rsidR="00B96607" w:rsidRPr="00D71BDA" w:rsidRDefault="00B96607" w:rsidP="002F320C">
      <w:pPr>
        <w:tabs>
          <w:tab w:val="left" w:pos="1440"/>
        </w:tabs>
        <w:rPr>
          <w:rFonts w:cs="Times New Roman"/>
          <w:szCs w:val="24"/>
        </w:rPr>
      </w:pPr>
      <w:r w:rsidRPr="00D71BDA">
        <w:rPr>
          <w:rFonts w:cs="Times New Roman"/>
          <w:szCs w:val="24"/>
        </w:rPr>
        <w:t>PACP</w:t>
      </w:r>
      <w:r w:rsidRPr="00D71BDA">
        <w:rPr>
          <w:rFonts w:cs="Times New Roman"/>
          <w:szCs w:val="24"/>
        </w:rPr>
        <w:tab/>
        <w:t>Pre-</w:t>
      </w:r>
      <w:r w:rsidR="00A25C02" w:rsidRPr="00D71BDA">
        <w:rPr>
          <w:rFonts w:cs="Times New Roman"/>
          <w:szCs w:val="24"/>
        </w:rPr>
        <w:t xml:space="preserve">analysis </w:t>
      </w:r>
      <w:r w:rsidRPr="00D71BDA">
        <w:rPr>
          <w:rFonts w:cs="Times New Roman"/>
          <w:szCs w:val="24"/>
        </w:rPr>
        <w:t>Consensus Plan</w:t>
      </w:r>
    </w:p>
    <w:p w14:paraId="2868F701" w14:textId="3CCA06DA" w:rsidR="00D71BDA" w:rsidRPr="00D71BDA" w:rsidRDefault="00D71BDA" w:rsidP="00D71BDA">
      <w:pPr>
        <w:rPr>
          <w:rFonts w:cs="Times New Roman"/>
          <w:szCs w:val="24"/>
        </w:rPr>
      </w:pPr>
      <w:r w:rsidRPr="00D71BDA">
        <w:rPr>
          <w:rFonts w:cs="Times New Roman"/>
          <w:szCs w:val="24"/>
        </w:rPr>
        <w:t>PAH</w:t>
      </w:r>
      <w:r w:rsidRPr="00D71BDA">
        <w:rPr>
          <w:rFonts w:cs="Times New Roman"/>
          <w:szCs w:val="24"/>
        </w:rPr>
        <w:tab/>
      </w:r>
      <w:r w:rsidRPr="00D71BDA">
        <w:rPr>
          <w:rFonts w:cs="Times New Roman"/>
          <w:szCs w:val="24"/>
        </w:rPr>
        <w:tab/>
        <w:t>Polycyclic Aromatic Hydrocarbons</w:t>
      </w:r>
    </w:p>
    <w:p w14:paraId="64DFCE3B" w14:textId="17E4B013" w:rsidR="00E509F8" w:rsidRPr="00D71BDA" w:rsidRDefault="00E509F8" w:rsidP="00176A31">
      <w:pPr>
        <w:tabs>
          <w:tab w:val="left" w:pos="1440"/>
        </w:tabs>
        <w:rPr>
          <w:rFonts w:cs="Times New Roman"/>
          <w:szCs w:val="24"/>
        </w:rPr>
      </w:pPr>
      <w:r w:rsidRPr="00D71BDA">
        <w:rPr>
          <w:rFonts w:cs="Times New Roman"/>
          <w:szCs w:val="24"/>
        </w:rPr>
        <w:t>PC</w:t>
      </w:r>
      <w:r w:rsidRPr="00D71BDA">
        <w:rPr>
          <w:rFonts w:cs="Times New Roman"/>
          <w:szCs w:val="24"/>
        </w:rPr>
        <w:tab/>
        <w:t>Passenger Car</w:t>
      </w:r>
    </w:p>
    <w:p w14:paraId="34B7CDC0" w14:textId="154E9894" w:rsidR="00843422" w:rsidRPr="00D71BDA" w:rsidRDefault="00843422" w:rsidP="00176A31">
      <w:pPr>
        <w:tabs>
          <w:tab w:val="left" w:pos="1440"/>
        </w:tabs>
        <w:rPr>
          <w:rFonts w:cs="Times New Roman"/>
          <w:szCs w:val="24"/>
        </w:rPr>
      </w:pPr>
      <w:r w:rsidRPr="00D71BDA">
        <w:rPr>
          <w:rFonts w:cs="Times New Roman"/>
          <w:szCs w:val="24"/>
        </w:rPr>
        <w:t>PM</w:t>
      </w:r>
      <w:r w:rsidR="00DD7376" w:rsidRPr="00D71BDA">
        <w:rPr>
          <w:rFonts w:cs="Times New Roman"/>
          <w:szCs w:val="24"/>
        </w:rPr>
        <w:tab/>
        <w:t>Particulate Matter</w:t>
      </w:r>
    </w:p>
    <w:p w14:paraId="15B809A6" w14:textId="034030EC" w:rsidR="00545968" w:rsidRPr="00D71BDA" w:rsidRDefault="00545968" w:rsidP="00176A31">
      <w:pPr>
        <w:tabs>
          <w:tab w:val="left" w:pos="1440"/>
        </w:tabs>
        <w:rPr>
          <w:rFonts w:cs="Times New Roman"/>
          <w:szCs w:val="24"/>
        </w:rPr>
      </w:pPr>
      <w:r w:rsidRPr="00D71BDA">
        <w:rPr>
          <w:rFonts w:cs="Times New Roman"/>
          <w:szCs w:val="24"/>
        </w:rPr>
        <w:t>RIF</w:t>
      </w:r>
      <w:r w:rsidRPr="00D71BDA">
        <w:rPr>
          <w:rFonts w:cs="Times New Roman"/>
          <w:szCs w:val="24"/>
        </w:rPr>
        <w:tab/>
        <w:t>Road Idle Fraction</w:t>
      </w:r>
    </w:p>
    <w:p w14:paraId="44F0A2F8" w14:textId="50A18854" w:rsidR="00B96607" w:rsidRPr="00D71BDA" w:rsidRDefault="00B96607" w:rsidP="002F320C">
      <w:pPr>
        <w:tabs>
          <w:tab w:val="left" w:pos="1440"/>
        </w:tabs>
        <w:rPr>
          <w:rFonts w:cs="Times New Roman"/>
          <w:szCs w:val="24"/>
        </w:rPr>
      </w:pPr>
      <w:r w:rsidRPr="00D71BDA">
        <w:rPr>
          <w:rFonts w:cs="Times New Roman"/>
          <w:szCs w:val="24"/>
        </w:rPr>
        <w:t>RTP</w:t>
      </w:r>
      <w:r w:rsidRPr="00D71BDA">
        <w:rPr>
          <w:rFonts w:cs="Times New Roman"/>
          <w:szCs w:val="24"/>
        </w:rPr>
        <w:tab/>
        <w:t>Regional Transportation Plan</w:t>
      </w:r>
    </w:p>
    <w:p w14:paraId="0061AC7E" w14:textId="550BA261" w:rsidR="00E509F8" w:rsidRPr="00D71BDA" w:rsidRDefault="00E509F8" w:rsidP="00176A31">
      <w:pPr>
        <w:tabs>
          <w:tab w:val="left" w:pos="1440"/>
        </w:tabs>
        <w:rPr>
          <w:rFonts w:cs="Times New Roman"/>
          <w:szCs w:val="24"/>
        </w:rPr>
      </w:pPr>
      <w:r w:rsidRPr="00D71BDA">
        <w:rPr>
          <w:rFonts w:cs="Times New Roman"/>
          <w:szCs w:val="24"/>
        </w:rPr>
        <w:t>RVP</w:t>
      </w:r>
      <w:r w:rsidRPr="00D71BDA">
        <w:rPr>
          <w:rFonts w:cs="Times New Roman"/>
          <w:szCs w:val="24"/>
        </w:rPr>
        <w:tab/>
      </w:r>
      <w:r w:rsidRPr="00D71BDA">
        <w:rPr>
          <w:rStyle w:val="BodyTextChar"/>
          <w:rFonts w:cs="Times New Roman"/>
          <w:szCs w:val="24"/>
        </w:rPr>
        <w:t>Reid Vapor Pressure</w:t>
      </w:r>
    </w:p>
    <w:p w14:paraId="5EA8E8F2" w14:textId="5FF7DA01" w:rsidR="00B96607" w:rsidRPr="00D71BDA" w:rsidRDefault="00B96607" w:rsidP="002F320C">
      <w:pPr>
        <w:tabs>
          <w:tab w:val="left" w:pos="1440"/>
        </w:tabs>
        <w:rPr>
          <w:rFonts w:cs="Times New Roman"/>
          <w:szCs w:val="24"/>
        </w:rPr>
      </w:pPr>
      <w:r w:rsidRPr="00D71BDA">
        <w:rPr>
          <w:rFonts w:cs="Times New Roman"/>
          <w:szCs w:val="24"/>
        </w:rPr>
        <w:t>SHEI</w:t>
      </w:r>
      <w:r w:rsidRPr="00D71BDA">
        <w:rPr>
          <w:rFonts w:cs="Times New Roman"/>
          <w:szCs w:val="24"/>
        </w:rPr>
        <w:tab/>
        <w:t xml:space="preserve">Source </w:t>
      </w:r>
      <w:r w:rsidR="00B3109C" w:rsidRPr="00D71BDA">
        <w:rPr>
          <w:rFonts w:cs="Times New Roman"/>
          <w:szCs w:val="24"/>
        </w:rPr>
        <w:t>H</w:t>
      </w:r>
      <w:r w:rsidRPr="00D71BDA">
        <w:rPr>
          <w:rFonts w:cs="Times New Roman"/>
          <w:szCs w:val="24"/>
        </w:rPr>
        <w:t xml:space="preserve">ours </w:t>
      </w:r>
      <w:r w:rsidR="00B3109C" w:rsidRPr="00D71BDA">
        <w:rPr>
          <w:rFonts w:cs="Times New Roman"/>
          <w:szCs w:val="24"/>
        </w:rPr>
        <w:t>E</w:t>
      </w:r>
      <w:r w:rsidRPr="00D71BDA">
        <w:rPr>
          <w:rFonts w:cs="Times New Roman"/>
          <w:szCs w:val="24"/>
        </w:rPr>
        <w:t xml:space="preserve">xtended </w:t>
      </w:r>
      <w:r w:rsidR="00B3109C" w:rsidRPr="00D71BDA">
        <w:rPr>
          <w:rFonts w:cs="Times New Roman"/>
          <w:szCs w:val="24"/>
        </w:rPr>
        <w:t>I</w:t>
      </w:r>
      <w:r w:rsidRPr="00D71BDA">
        <w:rPr>
          <w:rFonts w:cs="Times New Roman"/>
          <w:szCs w:val="24"/>
        </w:rPr>
        <w:t>dling</w:t>
      </w:r>
    </w:p>
    <w:p w14:paraId="2275C0CB" w14:textId="24E78371" w:rsidR="00E509F8" w:rsidRPr="00D71BDA" w:rsidRDefault="00E509F8" w:rsidP="00176A31">
      <w:pPr>
        <w:tabs>
          <w:tab w:val="left" w:pos="1440"/>
        </w:tabs>
        <w:rPr>
          <w:rFonts w:cs="Times New Roman"/>
          <w:szCs w:val="24"/>
        </w:rPr>
      </w:pPr>
      <w:r w:rsidRPr="00D71BDA">
        <w:rPr>
          <w:rFonts w:cs="Times New Roman"/>
          <w:szCs w:val="24"/>
        </w:rPr>
        <w:t>SHI</w:t>
      </w:r>
      <w:r w:rsidRPr="00D71BDA">
        <w:rPr>
          <w:rFonts w:cs="Times New Roman"/>
          <w:szCs w:val="24"/>
        </w:rPr>
        <w:tab/>
        <w:t>Source Hours Idling</w:t>
      </w:r>
    </w:p>
    <w:p w14:paraId="10FD787D" w14:textId="427340E3" w:rsidR="00B96607" w:rsidRPr="00D71BDA" w:rsidRDefault="00B96607" w:rsidP="00176A31">
      <w:pPr>
        <w:tabs>
          <w:tab w:val="left" w:pos="1440"/>
        </w:tabs>
        <w:rPr>
          <w:rFonts w:cs="Times New Roman"/>
          <w:szCs w:val="24"/>
        </w:rPr>
      </w:pPr>
      <w:r w:rsidRPr="00D71BDA">
        <w:rPr>
          <w:rFonts w:cs="Times New Roman"/>
          <w:szCs w:val="24"/>
        </w:rPr>
        <w:t>SHO</w:t>
      </w:r>
      <w:r w:rsidRPr="00D71BDA">
        <w:rPr>
          <w:rFonts w:cs="Times New Roman"/>
          <w:szCs w:val="24"/>
        </w:rPr>
        <w:tab/>
        <w:t xml:space="preserve">Source </w:t>
      </w:r>
      <w:r w:rsidR="00B3109C" w:rsidRPr="00D71BDA">
        <w:rPr>
          <w:rFonts w:cs="Times New Roman"/>
          <w:szCs w:val="24"/>
        </w:rPr>
        <w:t>H</w:t>
      </w:r>
      <w:r w:rsidRPr="00D71BDA">
        <w:rPr>
          <w:rFonts w:cs="Times New Roman"/>
          <w:szCs w:val="24"/>
        </w:rPr>
        <w:t xml:space="preserve">ours </w:t>
      </w:r>
      <w:r w:rsidR="00B3109C" w:rsidRPr="00D71BDA">
        <w:rPr>
          <w:rFonts w:cs="Times New Roman"/>
          <w:szCs w:val="24"/>
        </w:rPr>
        <w:t>O</w:t>
      </w:r>
      <w:r w:rsidRPr="00D71BDA">
        <w:rPr>
          <w:rFonts w:cs="Times New Roman"/>
          <w:szCs w:val="24"/>
        </w:rPr>
        <w:t>perating</w:t>
      </w:r>
    </w:p>
    <w:p w14:paraId="67040E74" w14:textId="5A8D2D37" w:rsidR="00B96607" w:rsidRPr="00D71BDA" w:rsidRDefault="00B96607" w:rsidP="00176A31">
      <w:pPr>
        <w:tabs>
          <w:tab w:val="left" w:pos="1440"/>
        </w:tabs>
        <w:rPr>
          <w:rFonts w:cs="Times New Roman"/>
          <w:szCs w:val="24"/>
        </w:rPr>
      </w:pPr>
      <w:r w:rsidRPr="00D71BDA">
        <w:rPr>
          <w:rFonts w:cs="Times New Roman"/>
          <w:szCs w:val="24"/>
        </w:rPr>
        <w:t>SHP</w:t>
      </w:r>
      <w:r w:rsidRPr="00D71BDA">
        <w:rPr>
          <w:rFonts w:cs="Times New Roman"/>
          <w:szCs w:val="24"/>
        </w:rPr>
        <w:tab/>
        <w:t>Source</w:t>
      </w:r>
      <w:r w:rsidR="00DB53FD" w:rsidRPr="00D71BDA">
        <w:rPr>
          <w:rFonts w:cs="Times New Roman"/>
          <w:szCs w:val="24"/>
        </w:rPr>
        <w:t xml:space="preserve"> </w:t>
      </w:r>
      <w:r w:rsidR="00B3109C" w:rsidRPr="00D71BDA">
        <w:rPr>
          <w:rFonts w:cs="Times New Roman"/>
          <w:szCs w:val="24"/>
        </w:rPr>
        <w:t>H</w:t>
      </w:r>
      <w:r w:rsidRPr="00D71BDA">
        <w:rPr>
          <w:rFonts w:cs="Times New Roman"/>
          <w:szCs w:val="24"/>
        </w:rPr>
        <w:t>ours</w:t>
      </w:r>
      <w:r w:rsidR="00B3109C" w:rsidRPr="00D71BDA">
        <w:rPr>
          <w:rFonts w:cs="Times New Roman"/>
          <w:szCs w:val="24"/>
        </w:rPr>
        <w:t xml:space="preserve"> P</w:t>
      </w:r>
      <w:r w:rsidRPr="00D71BDA">
        <w:rPr>
          <w:rFonts w:cs="Times New Roman"/>
          <w:szCs w:val="24"/>
        </w:rPr>
        <w:t>arked</w:t>
      </w:r>
    </w:p>
    <w:p w14:paraId="21AB5714" w14:textId="750C6E45" w:rsidR="00B96607" w:rsidRPr="00D71BDA" w:rsidRDefault="00B96607" w:rsidP="002F320C">
      <w:pPr>
        <w:tabs>
          <w:tab w:val="left" w:pos="1440"/>
        </w:tabs>
        <w:rPr>
          <w:rFonts w:cs="Times New Roman"/>
          <w:szCs w:val="24"/>
        </w:rPr>
      </w:pPr>
      <w:r w:rsidRPr="00D71BDA">
        <w:rPr>
          <w:rFonts w:cs="Times New Roman"/>
          <w:szCs w:val="24"/>
        </w:rPr>
        <w:t>SIP</w:t>
      </w:r>
      <w:r w:rsidRPr="00D71BDA">
        <w:rPr>
          <w:rFonts w:cs="Times New Roman"/>
          <w:szCs w:val="24"/>
        </w:rPr>
        <w:tab/>
        <w:t>State Implementation Plan</w:t>
      </w:r>
    </w:p>
    <w:p w14:paraId="496A13FF" w14:textId="48C0C8EA" w:rsidR="00E509F8" w:rsidRPr="00D71BDA" w:rsidRDefault="00E509F8" w:rsidP="00176A31">
      <w:pPr>
        <w:tabs>
          <w:tab w:val="left" w:pos="1440"/>
        </w:tabs>
        <w:rPr>
          <w:rFonts w:cs="Times New Roman"/>
          <w:szCs w:val="24"/>
        </w:rPr>
      </w:pPr>
      <w:r w:rsidRPr="00D71BDA">
        <w:rPr>
          <w:rFonts w:cs="Times New Roman"/>
          <w:szCs w:val="24"/>
        </w:rPr>
        <w:t>SUT</w:t>
      </w:r>
      <w:r w:rsidRPr="00D71BDA">
        <w:rPr>
          <w:rFonts w:cs="Times New Roman"/>
          <w:szCs w:val="24"/>
        </w:rPr>
        <w:tab/>
        <w:t>Source Use Type</w:t>
      </w:r>
    </w:p>
    <w:p w14:paraId="37E17DFE" w14:textId="203087A9" w:rsidR="00D71BDA" w:rsidRPr="00D71BDA" w:rsidRDefault="00D71BDA" w:rsidP="00D71BDA">
      <w:pPr>
        <w:rPr>
          <w:rFonts w:cs="Times New Roman"/>
          <w:szCs w:val="24"/>
        </w:rPr>
      </w:pPr>
      <w:r w:rsidRPr="00D71BDA">
        <w:rPr>
          <w:rFonts w:cs="Times New Roman"/>
          <w:szCs w:val="24"/>
        </w:rPr>
        <w:lastRenderedPageBreak/>
        <w:t>T50</w:t>
      </w:r>
      <w:r w:rsidRPr="00D71BDA">
        <w:rPr>
          <w:rFonts w:cs="Times New Roman"/>
          <w:szCs w:val="24"/>
        </w:rPr>
        <w:tab/>
      </w:r>
      <w:r w:rsidRPr="00D71BDA">
        <w:rPr>
          <w:rFonts w:cs="Times New Roman"/>
          <w:szCs w:val="24"/>
        </w:rPr>
        <w:tab/>
        <w:t>Temperature at which 50% of the fuel has evaporated</w:t>
      </w:r>
    </w:p>
    <w:p w14:paraId="60AB5BBA" w14:textId="00D12668" w:rsidR="00D71BDA" w:rsidRPr="00D71BDA" w:rsidRDefault="00D71BDA" w:rsidP="00D71BDA">
      <w:pPr>
        <w:rPr>
          <w:rFonts w:cs="Times New Roman"/>
          <w:szCs w:val="24"/>
        </w:rPr>
      </w:pPr>
      <w:r w:rsidRPr="00D71BDA">
        <w:rPr>
          <w:rFonts w:cs="Times New Roman"/>
          <w:szCs w:val="24"/>
        </w:rPr>
        <w:t>T90</w:t>
      </w:r>
      <w:r w:rsidRPr="00D71BDA">
        <w:rPr>
          <w:rFonts w:cs="Times New Roman"/>
          <w:szCs w:val="24"/>
        </w:rPr>
        <w:tab/>
      </w:r>
      <w:r w:rsidRPr="00D71BDA">
        <w:rPr>
          <w:rFonts w:cs="Times New Roman"/>
          <w:szCs w:val="24"/>
        </w:rPr>
        <w:tab/>
        <w:t>Temperature at which 90% of the fuel has evaporated</w:t>
      </w:r>
    </w:p>
    <w:p w14:paraId="0F002231" w14:textId="4D6AE3A9" w:rsidR="00431FEB" w:rsidRDefault="00431FEB" w:rsidP="00176A31">
      <w:pPr>
        <w:tabs>
          <w:tab w:val="left" w:pos="1440"/>
        </w:tabs>
        <w:rPr>
          <w:rFonts w:cs="Times New Roman"/>
          <w:szCs w:val="24"/>
        </w:rPr>
      </w:pPr>
      <w:r>
        <w:rPr>
          <w:rFonts w:cs="Times New Roman"/>
          <w:szCs w:val="24"/>
        </w:rPr>
        <w:t>TAME</w:t>
      </w:r>
      <w:r>
        <w:rPr>
          <w:rFonts w:cs="Times New Roman"/>
          <w:szCs w:val="24"/>
        </w:rPr>
        <w:tab/>
        <w:t>T</w:t>
      </w:r>
      <w:r w:rsidRPr="00431FEB">
        <w:rPr>
          <w:rFonts w:cs="Times New Roman"/>
          <w:szCs w:val="24"/>
        </w:rPr>
        <w:t xml:space="preserve">ert-Amyl </w:t>
      </w:r>
      <w:r>
        <w:rPr>
          <w:rFonts w:cs="Times New Roman"/>
          <w:szCs w:val="24"/>
        </w:rPr>
        <w:t>M</w:t>
      </w:r>
      <w:r w:rsidRPr="00431FEB">
        <w:rPr>
          <w:rFonts w:cs="Times New Roman"/>
          <w:szCs w:val="24"/>
        </w:rPr>
        <w:t xml:space="preserve">ethyl </w:t>
      </w:r>
      <w:r>
        <w:rPr>
          <w:rFonts w:cs="Times New Roman"/>
          <w:szCs w:val="24"/>
        </w:rPr>
        <w:t>E</w:t>
      </w:r>
      <w:r w:rsidRPr="00431FEB">
        <w:rPr>
          <w:rFonts w:cs="Times New Roman"/>
          <w:szCs w:val="24"/>
        </w:rPr>
        <w:t>ther</w:t>
      </w:r>
    </w:p>
    <w:p w14:paraId="45385310" w14:textId="672EF1D3" w:rsidR="00B96607" w:rsidRPr="00D71BDA" w:rsidRDefault="00B96607" w:rsidP="00176A31">
      <w:pPr>
        <w:tabs>
          <w:tab w:val="left" w:pos="1440"/>
        </w:tabs>
        <w:rPr>
          <w:rFonts w:cs="Times New Roman"/>
          <w:szCs w:val="24"/>
        </w:rPr>
      </w:pPr>
      <w:r w:rsidRPr="00D71BDA">
        <w:rPr>
          <w:rFonts w:cs="Times New Roman"/>
          <w:szCs w:val="24"/>
        </w:rPr>
        <w:t>TAZ</w:t>
      </w:r>
      <w:r w:rsidRPr="00D71BDA">
        <w:rPr>
          <w:rFonts w:cs="Times New Roman"/>
          <w:szCs w:val="24"/>
        </w:rPr>
        <w:tab/>
        <w:t xml:space="preserve">Traffic </w:t>
      </w:r>
      <w:r w:rsidR="003872FE" w:rsidRPr="00D71BDA">
        <w:rPr>
          <w:rFonts w:cs="Times New Roman"/>
          <w:szCs w:val="24"/>
        </w:rPr>
        <w:t>A</w:t>
      </w:r>
      <w:r w:rsidRPr="00D71BDA">
        <w:rPr>
          <w:rFonts w:cs="Times New Roman"/>
          <w:szCs w:val="24"/>
        </w:rPr>
        <w:t xml:space="preserve">nalysis </w:t>
      </w:r>
      <w:r w:rsidR="003872FE" w:rsidRPr="00D71BDA">
        <w:rPr>
          <w:rFonts w:cs="Times New Roman"/>
          <w:szCs w:val="24"/>
        </w:rPr>
        <w:t>Z</w:t>
      </w:r>
      <w:r w:rsidRPr="00D71BDA">
        <w:rPr>
          <w:rFonts w:cs="Times New Roman"/>
          <w:szCs w:val="24"/>
        </w:rPr>
        <w:t>one</w:t>
      </w:r>
    </w:p>
    <w:p w14:paraId="7DFF7CB9" w14:textId="0D381B7A" w:rsidR="00867161" w:rsidRPr="00D71BDA" w:rsidRDefault="00867161" w:rsidP="00176A31">
      <w:pPr>
        <w:tabs>
          <w:tab w:val="left" w:pos="1440"/>
        </w:tabs>
        <w:rPr>
          <w:rFonts w:cs="Times New Roman"/>
          <w:szCs w:val="24"/>
        </w:rPr>
      </w:pPr>
      <w:r w:rsidRPr="00D71BDA">
        <w:rPr>
          <w:rFonts w:cs="Times New Roman"/>
          <w:szCs w:val="24"/>
        </w:rPr>
        <w:t>TCEQ</w:t>
      </w:r>
      <w:r w:rsidR="00DD7376" w:rsidRPr="00D71BDA">
        <w:rPr>
          <w:rFonts w:cs="Times New Roman"/>
          <w:szCs w:val="24"/>
        </w:rPr>
        <w:tab/>
        <w:t>Texas Commission on Environmental Quality</w:t>
      </w:r>
    </w:p>
    <w:p w14:paraId="1CD75A84" w14:textId="02C72D79" w:rsidR="00B96607" w:rsidRPr="00D71BDA" w:rsidRDefault="00B96607" w:rsidP="00176A31">
      <w:pPr>
        <w:tabs>
          <w:tab w:val="left" w:pos="1440"/>
        </w:tabs>
        <w:rPr>
          <w:rFonts w:cs="Times New Roman"/>
          <w:szCs w:val="24"/>
        </w:rPr>
      </w:pPr>
      <w:r w:rsidRPr="00D71BDA">
        <w:rPr>
          <w:rFonts w:cs="Times New Roman"/>
          <w:szCs w:val="24"/>
        </w:rPr>
        <w:t>TCM</w:t>
      </w:r>
      <w:r w:rsidRPr="00D71BDA">
        <w:rPr>
          <w:rFonts w:cs="Times New Roman"/>
          <w:szCs w:val="24"/>
        </w:rPr>
        <w:tab/>
        <w:t>Transportation Control Measure</w:t>
      </w:r>
    </w:p>
    <w:p w14:paraId="1BC83AE9" w14:textId="2E28267E" w:rsidR="00492C78" w:rsidRPr="00D71BDA" w:rsidRDefault="00492C78" w:rsidP="00176A31">
      <w:pPr>
        <w:tabs>
          <w:tab w:val="left" w:pos="1440"/>
        </w:tabs>
        <w:rPr>
          <w:rFonts w:cs="Times New Roman"/>
          <w:szCs w:val="24"/>
        </w:rPr>
      </w:pPr>
      <w:r w:rsidRPr="00D71BDA">
        <w:rPr>
          <w:rFonts w:cs="Times New Roman"/>
          <w:szCs w:val="24"/>
        </w:rPr>
        <w:t>TDM</w:t>
      </w:r>
      <w:r w:rsidRPr="00D71BDA">
        <w:rPr>
          <w:rFonts w:cs="Times New Roman"/>
          <w:szCs w:val="24"/>
        </w:rPr>
        <w:tab/>
        <w:t>Travel Demand Model</w:t>
      </w:r>
    </w:p>
    <w:p w14:paraId="0CB83B4B" w14:textId="555977B5" w:rsidR="00B96607" w:rsidRPr="00D71BDA" w:rsidRDefault="00B96607" w:rsidP="00176A31">
      <w:pPr>
        <w:tabs>
          <w:tab w:val="left" w:pos="1440"/>
        </w:tabs>
        <w:rPr>
          <w:rFonts w:cs="Times New Roman"/>
          <w:szCs w:val="24"/>
        </w:rPr>
      </w:pPr>
      <w:r w:rsidRPr="00D71BDA">
        <w:rPr>
          <w:rFonts w:cs="Times New Roman"/>
          <w:szCs w:val="24"/>
        </w:rPr>
        <w:t>TERM</w:t>
      </w:r>
      <w:r w:rsidRPr="00D71BDA">
        <w:rPr>
          <w:rFonts w:cs="Times New Roman"/>
          <w:szCs w:val="24"/>
        </w:rPr>
        <w:tab/>
        <w:t>Transportation Emission Reduction Measure</w:t>
      </w:r>
    </w:p>
    <w:p w14:paraId="197FF43B" w14:textId="471D9DE0" w:rsidR="00492C78" w:rsidRPr="00D71BDA" w:rsidRDefault="00B96607" w:rsidP="00176A31">
      <w:pPr>
        <w:tabs>
          <w:tab w:val="left" w:pos="1440"/>
        </w:tabs>
        <w:rPr>
          <w:rFonts w:cs="Times New Roman"/>
          <w:szCs w:val="24"/>
        </w:rPr>
      </w:pPr>
      <w:r w:rsidRPr="00D71BDA">
        <w:rPr>
          <w:rFonts w:cs="Times New Roman"/>
          <w:szCs w:val="24"/>
        </w:rPr>
        <w:t>TIP</w:t>
      </w:r>
      <w:r w:rsidRPr="00D71BDA">
        <w:rPr>
          <w:rFonts w:cs="Times New Roman"/>
          <w:szCs w:val="24"/>
        </w:rPr>
        <w:tab/>
        <w:t>Transportation Improvement Program</w:t>
      </w:r>
    </w:p>
    <w:p w14:paraId="4EDD83FB" w14:textId="563E6CB8" w:rsidR="0053491B" w:rsidRPr="00D71BDA" w:rsidRDefault="0053491B" w:rsidP="002F320C">
      <w:pPr>
        <w:tabs>
          <w:tab w:val="left" w:pos="1440"/>
        </w:tabs>
        <w:rPr>
          <w:rFonts w:cs="Times New Roman"/>
          <w:szCs w:val="24"/>
        </w:rPr>
      </w:pPr>
      <w:r w:rsidRPr="00D71BDA">
        <w:rPr>
          <w:rFonts w:cs="Times New Roman"/>
          <w:szCs w:val="24"/>
        </w:rPr>
        <w:t>TTI</w:t>
      </w:r>
      <w:r w:rsidRPr="00D71BDA">
        <w:rPr>
          <w:rFonts w:cs="Times New Roman"/>
          <w:szCs w:val="24"/>
        </w:rPr>
        <w:tab/>
        <w:t>Texas A&amp;M Transportation Institute</w:t>
      </w:r>
    </w:p>
    <w:p w14:paraId="42D4A090" w14:textId="77777777" w:rsidR="00E509F8" w:rsidRPr="00D71BDA" w:rsidRDefault="00E509F8" w:rsidP="00E509F8">
      <w:pPr>
        <w:tabs>
          <w:tab w:val="left" w:pos="1440"/>
        </w:tabs>
        <w:rPr>
          <w:rFonts w:cs="Times New Roman"/>
          <w:szCs w:val="24"/>
        </w:rPr>
      </w:pPr>
      <w:r w:rsidRPr="00D71BDA">
        <w:rPr>
          <w:rFonts w:cs="Times New Roman"/>
          <w:szCs w:val="24"/>
        </w:rPr>
        <w:t>TxDMV</w:t>
      </w:r>
      <w:r w:rsidRPr="00D71BDA">
        <w:rPr>
          <w:rFonts w:cs="Times New Roman"/>
          <w:szCs w:val="24"/>
        </w:rPr>
        <w:tab/>
        <w:t>Texas Department of Motor Vehicles</w:t>
      </w:r>
    </w:p>
    <w:p w14:paraId="62E5DAF6" w14:textId="2B931F64" w:rsidR="00E509F8" w:rsidRPr="00D71BDA" w:rsidRDefault="00E509F8" w:rsidP="002F320C">
      <w:pPr>
        <w:tabs>
          <w:tab w:val="left" w:pos="1440"/>
        </w:tabs>
        <w:rPr>
          <w:rFonts w:cs="Times New Roman"/>
          <w:szCs w:val="24"/>
        </w:rPr>
      </w:pPr>
      <w:r w:rsidRPr="00D71BDA">
        <w:rPr>
          <w:rFonts w:cs="Times New Roman"/>
          <w:szCs w:val="24"/>
        </w:rPr>
        <w:t>TxDOT</w:t>
      </w:r>
      <w:r w:rsidRPr="00D71BDA">
        <w:rPr>
          <w:rFonts w:cs="Times New Roman"/>
          <w:szCs w:val="24"/>
        </w:rPr>
        <w:tab/>
        <w:t>Texas Department of Transportation</w:t>
      </w:r>
    </w:p>
    <w:p w14:paraId="0F8F8335" w14:textId="197D965F" w:rsidR="000C113A" w:rsidRPr="00D71BDA" w:rsidRDefault="000C113A" w:rsidP="002F320C">
      <w:pPr>
        <w:tabs>
          <w:tab w:val="left" w:pos="1440"/>
        </w:tabs>
        <w:rPr>
          <w:rFonts w:cs="Times New Roman"/>
          <w:szCs w:val="24"/>
        </w:rPr>
      </w:pPr>
      <w:r w:rsidRPr="00D71BDA">
        <w:rPr>
          <w:rFonts w:cs="Times New Roman"/>
          <w:szCs w:val="24"/>
        </w:rPr>
        <w:t>USC</w:t>
      </w:r>
      <w:r w:rsidRPr="00D71BDA">
        <w:rPr>
          <w:rFonts w:cs="Times New Roman"/>
          <w:szCs w:val="24"/>
        </w:rPr>
        <w:tab/>
        <w:t>U.S. Code</w:t>
      </w:r>
    </w:p>
    <w:p w14:paraId="454D147C" w14:textId="5D3209FD" w:rsidR="008F04B6" w:rsidRPr="00D71BDA" w:rsidRDefault="008F04B6" w:rsidP="00176A31">
      <w:pPr>
        <w:tabs>
          <w:tab w:val="left" w:pos="1440"/>
        </w:tabs>
        <w:rPr>
          <w:rFonts w:cs="Times New Roman"/>
          <w:szCs w:val="24"/>
        </w:rPr>
      </w:pPr>
      <w:r w:rsidRPr="00D71BDA">
        <w:rPr>
          <w:rFonts w:cs="Times New Roman"/>
          <w:szCs w:val="24"/>
        </w:rPr>
        <w:t>VHT</w:t>
      </w:r>
      <w:r w:rsidRPr="00D71BDA">
        <w:rPr>
          <w:rFonts w:cs="Times New Roman"/>
          <w:szCs w:val="24"/>
        </w:rPr>
        <w:tab/>
        <w:t xml:space="preserve">Vehicle </w:t>
      </w:r>
      <w:r w:rsidR="00B3109C" w:rsidRPr="00D71BDA">
        <w:rPr>
          <w:rFonts w:cs="Times New Roman"/>
          <w:szCs w:val="24"/>
        </w:rPr>
        <w:t>H</w:t>
      </w:r>
      <w:r w:rsidRPr="00D71BDA">
        <w:rPr>
          <w:rFonts w:cs="Times New Roman"/>
          <w:szCs w:val="24"/>
        </w:rPr>
        <w:t xml:space="preserve">ours </w:t>
      </w:r>
      <w:r w:rsidR="00E509F8" w:rsidRPr="00D71BDA">
        <w:rPr>
          <w:rFonts w:cs="Times New Roman"/>
          <w:szCs w:val="24"/>
        </w:rPr>
        <w:t xml:space="preserve">of </w:t>
      </w:r>
      <w:r w:rsidR="00B3109C" w:rsidRPr="00D71BDA">
        <w:rPr>
          <w:rFonts w:cs="Times New Roman"/>
          <w:szCs w:val="24"/>
        </w:rPr>
        <w:t>T</w:t>
      </w:r>
      <w:r w:rsidRPr="00D71BDA">
        <w:rPr>
          <w:rFonts w:cs="Times New Roman"/>
          <w:szCs w:val="24"/>
        </w:rPr>
        <w:t>ravel</w:t>
      </w:r>
    </w:p>
    <w:p w14:paraId="4B4811D8" w14:textId="5D9F2FB3" w:rsidR="005E740E" w:rsidRPr="00D71BDA" w:rsidRDefault="00B96607" w:rsidP="00176A31">
      <w:pPr>
        <w:tabs>
          <w:tab w:val="left" w:pos="1440"/>
        </w:tabs>
        <w:rPr>
          <w:rFonts w:cs="Times New Roman"/>
          <w:szCs w:val="24"/>
        </w:rPr>
      </w:pPr>
      <w:r w:rsidRPr="00D71BDA">
        <w:rPr>
          <w:rFonts w:cs="Times New Roman"/>
          <w:szCs w:val="24"/>
        </w:rPr>
        <w:t>VMT</w:t>
      </w:r>
      <w:r w:rsidRPr="00D71BDA">
        <w:rPr>
          <w:rFonts w:cs="Times New Roman"/>
          <w:szCs w:val="24"/>
        </w:rPr>
        <w:tab/>
        <w:t xml:space="preserve">Vehicle </w:t>
      </w:r>
      <w:r w:rsidR="00B3109C" w:rsidRPr="00D71BDA">
        <w:rPr>
          <w:rFonts w:cs="Times New Roman"/>
          <w:szCs w:val="24"/>
        </w:rPr>
        <w:t>M</w:t>
      </w:r>
      <w:r w:rsidRPr="00D71BDA">
        <w:rPr>
          <w:rFonts w:cs="Times New Roman"/>
          <w:szCs w:val="24"/>
        </w:rPr>
        <w:t xml:space="preserve">iles </w:t>
      </w:r>
      <w:r w:rsidR="00E509F8" w:rsidRPr="00D71BDA">
        <w:rPr>
          <w:rFonts w:cs="Times New Roman"/>
          <w:szCs w:val="24"/>
        </w:rPr>
        <w:t xml:space="preserve">of </w:t>
      </w:r>
      <w:r w:rsidR="00B3109C" w:rsidRPr="00D71BDA">
        <w:rPr>
          <w:rFonts w:cs="Times New Roman"/>
          <w:szCs w:val="24"/>
        </w:rPr>
        <w:t>T</w:t>
      </w:r>
      <w:r w:rsidRPr="00D71BDA">
        <w:rPr>
          <w:rFonts w:cs="Times New Roman"/>
          <w:szCs w:val="24"/>
        </w:rPr>
        <w:t>ravel</w:t>
      </w:r>
    </w:p>
    <w:p w14:paraId="776C0736" w14:textId="76D1022B" w:rsidR="00492C78" w:rsidRPr="00D71BDA" w:rsidRDefault="00492C78" w:rsidP="002F320C">
      <w:pPr>
        <w:tabs>
          <w:tab w:val="left" w:pos="1440"/>
        </w:tabs>
        <w:rPr>
          <w:rFonts w:cs="Times New Roman"/>
          <w:szCs w:val="24"/>
        </w:rPr>
      </w:pPr>
      <w:r w:rsidRPr="00D71BDA">
        <w:rPr>
          <w:rFonts w:cs="Times New Roman"/>
          <w:szCs w:val="24"/>
        </w:rPr>
        <w:t>VOC</w:t>
      </w:r>
      <w:r w:rsidRPr="00D71BDA">
        <w:rPr>
          <w:rFonts w:cs="Times New Roman"/>
          <w:szCs w:val="24"/>
        </w:rPr>
        <w:tab/>
        <w:t>Volatile Organic Compound</w:t>
      </w:r>
    </w:p>
    <w:p w14:paraId="46A74D90" w14:textId="5761A92A" w:rsidR="00366D73" w:rsidRPr="00D71BDA" w:rsidRDefault="00366D73" w:rsidP="00176A31">
      <w:pPr>
        <w:tabs>
          <w:tab w:val="left" w:pos="1440"/>
        </w:tabs>
        <w:rPr>
          <w:rFonts w:cs="Times New Roman"/>
          <w:szCs w:val="24"/>
        </w:rPr>
      </w:pPr>
      <w:r w:rsidRPr="00D71BDA">
        <w:rPr>
          <w:rFonts w:cs="Times New Roman"/>
          <w:szCs w:val="24"/>
        </w:rPr>
        <w:t>VPGF</w:t>
      </w:r>
      <w:r w:rsidRPr="00D71BDA">
        <w:rPr>
          <w:rFonts w:cs="Times New Roman"/>
          <w:szCs w:val="24"/>
        </w:rPr>
        <w:tab/>
        <w:t>Vehicle Type of Population Growth Factor</w:t>
      </w:r>
    </w:p>
    <w:p w14:paraId="05E52589" w14:textId="4B4D229B" w:rsidR="00B96607" w:rsidRPr="00D71BDA" w:rsidRDefault="00B96607" w:rsidP="00176A31">
      <w:pPr>
        <w:tabs>
          <w:tab w:val="left" w:pos="1440"/>
        </w:tabs>
        <w:rPr>
          <w:rFonts w:cs="Times New Roman"/>
          <w:color w:val="7030A0"/>
          <w:szCs w:val="24"/>
        </w:rPr>
      </w:pPr>
      <w:r w:rsidRPr="00D71BDA">
        <w:rPr>
          <w:rFonts w:cs="Times New Roman"/>
          <w:color w:val="7030A0"/>
          <w:szCs w:val="24"/>
        </w:rPr>
        <w:t>[Abb.]</w:t>
      </w:r>
      <w:r w:rsidRPr="00D71BDA">
        <w:rPr>
          <w:rFonts w:cs="Times New Roman"/>
          <w:color w:val="7030A0"/>
          <w:szCs w:val="24"/>
        </w:rPr>
        <w:tab/>
        <w:t>[Add more abbreviations if needed]</w:t>
      </w:r>
    </w:p>
    <w:p w14:paraId="168924D6" w14:textId="77777777" w:rsidR="00864460" w:rsidRPr="00640D01" w:rsidRDefault="00864460" w:rsidP="00176A31">
      <w:r w:rsidRPr="00640D01">
        <w:br w:type="page"/>
      </w:r>
    </w:p>
    <w:p w14:paraId="52281AFC" w14:textId="266605C8" w:rsidR="000329F5" w:rsidRPr="00640D01" w:rsidRDefault="000329F5" w:rsidP="00D727FF">
      <w:pPr>
        <w:pStyle w:val="Heading1"/>
      </w:pPr>
      <w:bookmarkStart w:id="10" w:name="_Toc190242673"/>
      <w:r w:rsidRPr="00640D01">
        <w:lastRenderedPageBreak/>
        <w:t>Executive Summary</w:t>
      </w:r>
      <w:bookmarkEnd w:id="10"/>
    </w:p>
    <w:p w14:paraId="7C4533F0" w14:textId="77777777" w:rsidR="00861F03" w:rsidRPr="00640D01" w:rsidRDefault="000329F5" w:rsidP="00861F03">
      <w:pPr>
        <w:pStyle w:val="Heading2"/>
      </w:pPr>
      <w:bookmarkStart w:id="11" w:name="_Toc190242674"/>
      <w:r w:rsidRPr="00640D01">
        <w:t>Conformity Overview</w:t>
      </w:r>
      <w:bookmarkEnd w:id="11"/>
    </w:p>
    <w:p w14:paraId="36BE831B" w14:textId="79058DFE" w:rsidR="000D3B62" w:rsidRPr="00640D01" w:rsidRDefault="00415C79" w:rsidP="007334CB">
      <w:pPr>
        <w:pStyle w:val="BodyText"/>
      </w:pPr>
      <w:r w:rsidRPr="00640D01">
        <w:t xml:space="preserve">The Clean Air Act Amendments of 1990 (CAAA) require transportation plans, programs, and projects in nonattainment and maintenance areas, funded or approved by the Federal Highway Administration (FHWA) or the </w:t>
      </w:r>
      <w:r w:rsidR="000B598C" w:rsidRPr="00640D01">
        <w:t>Federal Transit Administration (</w:t>
      </w:r>
      <w:r w:rsidRPr="00640D01">
        <w:t>FTA</w:t>
      </w:r>
      <w:r w:rsidR="000B598C" w:rsidRPr="00640D01">
        <w:t>)</w:t>
      </w:r>
      <w:r w:rsidRPr="00640D01">
        <w:t xml:space="preserve">, to conform to the </w:t>
      </w:r>
      <w:r w:rsidR="00491785" w:rsidRPr="00640D01">
        <w:t xml:space="preserve">motor vehicle emissions budgets </w:t>
      </w:r>
      <w:r w:rsidRPr="00640D01">
        <w:t xml:space="preserve">(MVEBs) established in the </w:t>
      </w:r>
      <w:r w:rsidR="00491785" w:rsidRPr="00640D01">
        <w:t xml:space="preserve">state implementation plan </w:t>
      </w:r>
      <w:r w:rsidR="00BF2960" w:rsidRPr="00640D01">
        <w:t>(SIP)</w:t>
      </w:r>
      <w:r w:rsidR="00D93872" w:rsidRPr="00640D01">
        <w:t xml:space="preserve"> and deemed adequate or approved by the U.S. Environmental Protection Agency (EPA)</w:t>
      </w:r>
      <w:r w:rsidRPr="00640D01">
        <w:t xml:space="preserve">. </w:t>
      </w:r>
      <w:r w:rsidR="00F70086" w:rsidRPr="00640D01">
        <w:t>N</w:t>
      </w:r>
      <w:r w:rsidR="00585D80" w:rsidRPr="00640D01">
        <w:t>onattainment areas with</w:t>
      </w:r>
      <w:r w:rsidR="003C5533" w:rsidRPr="00640D01">
        <w:t xml:space="preserve"> no </w:t>
      </w:r>
      <w:r w:rsidR="00585D80" w:rsidRPr="00640D01">
        <w:t>MVEB</w:t>
      </w:r>
      <w:r w:rsidR="00925B2E" w:rsidRPr="00640D01">
        <w:t>s</w:t>
      </w:r>
      <w:r w:rsidR="00F70086" w:rsidRPr="00640D01">
        <w:t xml:space="preserve"> </w:t>
      </w:r>
      <w:r w:rsidR="003C5533" w:rsidRPr="00640D01">
        <w:t xml:space="preserve">must demonstrate </w:t>
      </w:r>
      <w:r w:rsidR="00F70086" w:rsidRPr="00640D01">
        <w:t xml:space="preserve">conformity by satisfying </w:t>
      </w:r>
      <w:r w:rsidR="003C5533" w:rsidRPr="00640D01">
        <w:t xml:space="preserve">interim emissions test(s). </w:t>
      </w:r>
      <w:r w:rsidR="00717A09" w:rsidRPr="00640D01">
        <w:t xml:space="preserve">Satisfying </w:t>
      </w:r>
      <w:r w:rsidR="00367191" w:rsidRPr="00640D01">
        <w:t>MVEB</w:t>
      </w:r>
      <w:r w:rsidR="006C4CE2" w:rsidRPr="00640D01">
        <w:t>s</w:t>
      </w:r>
      <w:r w:rsidR="00367191" w:rsidRPr="00640D01">
        <w:t xml:space="preserve"> </w:t>
      </w:r>
      <w:r w:rsidR="00717A09" w:rsidRPr="00640D01">
        <w:t xml:space="preserve">or interim emissions tests </w:t>
      </w:r>
      <w:r w:rsidRPr="00640D01">
        <w:t xml:space="preserve">ensures that transportation plans, programs, and projects do not produce new air quality violations, worsen existing violations, or delay </w:t>
      </w:r>
      <w:r w:rsidR="00684C90" w:rsidRPr="00640D01">
        <w:t xml:space="preserve">the </w:t>
      </w:r>
      <w:r w:rsidRPr="00640D01">
        <w:t xml:space="preserve">timely attainment </w:t>
      </w:r>
      <w:r w:rsidR="00684C90" w:rsidRPr="00640D01">
        <w:t>of</w:t>
      </w:r>
      <w:r w:rsidRPr="00640D01">
        <w:t xml:space="preserve"> National Ambient Air Quality Standards (NAAQS).</w:t>
      </w:r>
      <w:r w:rsidR="000D3B62" w:rsidRPr="00640D01">
        <w:t xml:space="preserve"> </w:t>
      </w:r>
      <w:r w:rsidR="004728C4" w:rsidRPr="00640D01">
        <w:t>Section</w:t>
      </w:r>
      <w:r w:rsidR="00925B2E" w:rsidRPr="00640D01">
        <w:t> </w:t>
      </w:r>
      <w:r w:rsidR="004728C4" w:rsidRPr="00640D01">
        <w:t xml:space="preserve">176(c)(4) of the </w:t>
      </w:r>
      <w:r w:rsidRPr="00640D01">
        <w:t>CAAA</w:t>
      </w:r>
      <w:r w:rsidR="004728C4" w:rsidRPr="00640D01">
        <w:t xml:space="preserve"> requires </w:t>
      </w:r>
      <w:r w:rsidR="000A1407" w:rsidRPr="00640D01">
        <w:t xml:space="preserve">metropolitan planning organizations </w:t>
      </w:r>
      <w:r w:rsidR="00E377B6" w:rsidRPr="00640D01">
        <w:t>(MPOs)</w:t>
      </w:r>
      <w:r w:rsidR="004728C4" w:rsidRPr="00640D01">
        <w:t>, for areas designated as nonattainment</w:t>
      </w:r>
      <w:r w:rsidR="00A1711D" w:rsidRPr="00640D01">
        <w:t xml:space="preserve"> and/or maintenance for </w:t>
      </w:r>
      <w:r w:rsidR="00340196" w:rsidRPr="00640D01">
        <w:t>a</w:t>
      </w:r>
      <w:r w:rsidR="00A1711D" w:rsidRPr="00640D01">
        <w:t xml:space="preserve"> NAAQS</w:t>
      </w:r>
      <w:r w:rsidR="004728C4" w:rsidRPr="00640D01">
        <w:t xml:space="preserve">, to conduct an air quality conformity analysis to </w:t>
      </w:r>
      <w:r w:rsidR="006C1F63" w:rsidRPr="00640D01">
        <w:t xml:space="preserve">demonstrate that </w:t>
      </w:r>
      <w:r w:rsidR="000A1407" w:rsidRPr="00640D01">
        <w:t xml:space="preserve">metropolitan transportation plans </w:t>
      </w:r>
      <w:r w:rsidR="004728C4" w:rsidRPr="00640D01">
        <w:t>(MTPs)</w:t>
      </w:r>
      <w:r w:rsidR="00BD02EF" w:rsidRPr="00640D01">
        <w:t>/</w:t>
      </w:r>
      <w:r w:rsidR="000A1407" w:rsidRPr="00640D01">
        <w:t xml:space="preserve">regional transportation plans </w:t>
      </w:r>
      <w:r w:rsidR="00FC1FE3" w:rsidRPr="00640D01">
        <w:t>(RTP</w:t>
      </w:r>
      <w:r w:rsidR="000A1407" w:rsidRPr="00640D01">
        <w:t>s</w:t>
      </w:r>
      <w:r w:rsidR="00FC1FE3" w:rsidRPr="00640D01">
        <w:t>)</w:t>
      </w:r>
      <w:r w:rsidR="004728C4" w:rsidRPr="00640D01">
        <w:t xml:space="preserve"> and</w:t>
      </w:r>
      <w:r w:rsidR="00FC1FE3" w:rsidRPr="00640D01">
        <w:t>/or</w:t>
      </w:r>
      <w:r w:rsidR="004728C4" w:rsidRPr="00640D01">
        <w:t xml:space="preserve"> </w:t>
      </w:r>
      <w:r w:rsidR="000A1407" w:rsidRPr="00640D01">
        <w:t xml:space="preserve">transportation improvement programs </w:t>
      </w:r>
      <w:r w:rsidR="004728C4" w:rsidRPr="00640D01">
        <w:t xml:space="preserve">(TIPs) are consistent with the region’s air quality goals. </w:t>
      </w:r>
    </w:p>
    <w:p w14:paraId="53D2E0A1" w14:textId="65253B63" w:rsidR="00D54619" w:rsidRPr="00640D01" w:rsidRDefault="00D54619" w:rsidP="00446FEB">
      <w:pPr>
        <w:pStyle w:val="BodyText"/>
      </w:pPr>
      <w:r w:rsidRPr="00640D01">
        <w:t>Check</w:t>
      </w:r>
      <w:r w:rsidR="000A08B2" w:rsidRPr="00640D01">
        <w:t xml:space="preserve"> </w:t>
      </w:r>
      <w:r w:rsidR="00F6000F" w:rsidRPr="00640D01">
        <w:t>only one box</w:t>
      </w:r>
      <w:r w:rsidR="000A1407" w:rsidRPr="00640D01">
        <w:t xml:space="preserve"> and </w:t>
      </w:r>
      <w:r w:rsidR="00F6000F" w:rsidRPr="00640D01">
        <w:t>then complete as applicable.</w:t>
      </w:r>
    </w:p>
    <w:p w14:paraId="1398B50E" w14:textId="2FF4F5E0" w:rsidR="00F6000F" w:rsidRPr="00640D01" w:rsidRDefault="00000000" w:rsidP="00446FEB">
      <w:pPr>
        <w:pStyle w:val="BodyTextBold"/>
      </w:pPr>
      <w:sdt>
        <w:sdtPr>
          <w:id w:val="-2001885190"/>
          <w14:checkbox>
            <w14:checked w14:val="0"/>
            <w14:checkedState w14:val="2612" w14:font="MS Gothic"/>
            <w14:uncheckedState w14:val="2610" w14:font="MS Gothic"/>
          </w14:checkbox>
        </w:sdtPr>
        <w:sdtContent>
          <w:r w:rsidR="000C515D" w:rsidRPr="00640D01">
            <w:rPr>
              <w:rFonts w:ascii="Segoe UI Symbol" w:hAnsi="Segoe UI Symbol" w:cs="Segoe UI Symbol"/>
            </w:rPr>
            <w:t>☐</w:t>
          </w:r>
        </w:sdtContent>
      </w:sdt>
      <w:r w:rsidR="00446FEB" w:rsidRPr="00640D01">
        <w:t xml:space="preserve"> </w:t>
      </w:r>
      <w:r w:rsidR="00717A09" w:rsidRPr="00640D01">
        <w:t>For n</w:t>
      </w:r>
      <w:r w:rsidR="005F7022" w:rsidRPr="00640D01">
        <w:t>onattainment or maintenance areas</w:t>
      </w:r>
      <w:r w:rsidR="00C5206B" w:rsidRPr="00640D01">
        <w:t xml:space="preserve"> with adequate or approved SIP MVEB(s)</w:t>
      </w:r>
    </w:p>
    <w:p w14:paraId="7B6BDC40" w14:textId="7F068536" w:rsidR="00114CDF" w:rsidRPr="00640D01" w:rsidRDefault="00F95F49" w:rsidP="00446FEB">
      <w:pPr>
        <w:pStyle w:val="BodyText"/>
      </w:pPr>
      <w:r w:rsidRPr="00640D01">
        <w:t xml:space="preserve">This </w:t>
      </w:r>
      <w:r w:rsidR="00565C5D" w:rsidRPr="00640D01">
        <w:t xml:space="preserve">conformity </w:t>
      </w:r>
      <w:r w:rsidR="00DD357A" w:rsidRPr="00640D01">
        <w:t>analysis</w:t>
      </w:r>
      <w:r w:rsidRPr="00640D01">
        <w:t xml:space="preserve"> requires MVEB test(s) </w:t>
      </w:r>
      <w:r w:rsidR="00996E9D" w:rsidRPr="00640D01">
        <w:t xml:space="preserve">that </w:t>
      </w:r>
      <w:r w:rsidRPr="00640D01">
        <w:t xml:space="preserve">must </w:t>
      </w:r>
      <w:r w:rsidR="00DD357A" w:rsidRPr="00640D01">
        <w:t xml:space="preserve">demonstrate </w:t>
      </w:r>
      <w:r w:rsidR="00CD7A3D" w:rsidRPr="00640D01">
        <w:t xml:space="preserve">that </w:t>
      </w:r>
      <w:r w:rsidR="00DD357A" w:rsidRPr="00640D01">
        <w:t xml:space="preserve">the </w:t>
      </w:r>
      <w:r w:rsidR="00514311">
        <w:t>total emissions</w:t>
      </w:r>
      <w:r w:rsidR="00DD357A" w:rsidRPr="00640D01">
        <w:t xml:space="preserve"> for the</w:t>
      </w:r>
      <w:r w:rsidR="00514311">
        <w:t xml:space="preserve"> nonattainment or maintenance</w:t>
      </w:r>
      <w:r w:rsidR="00114CDF" w:rsidRPr="00640D01">
        <w:t xml:space="preserve"> </w:t>
      </w:r>
      <w:r w:rsidR="00996E9D" w:rsidRPr="00640D01">
        <w:t xml:space="preserve">area </w:t>
      </w:r>
      <w:r w:rsidR="00514311">
        <w:t>is</w:t>
      </w:r>
      <w:r w:rsidR="00DD357A" w:rsidRPr="00640D01">
        <w:t xml:space="preserve"> </w:t>
      </w:r>
      <w:r w:rsidR="00224CD0" w:rsidRPr="00640D01">
        <w:t xml:space="preserve">less than or equal to </w:t>
      </w:r>
      <w:r w:rsidR="00DD357A" w:rsidRPr="00640D01">
        <w:t>the</w:t>
      </w:r>
      <w:r w:rsidRPr="00640D01">
        <w:t xml:space="preserve"> applicable</w:t>
      </w:r>
      <w:r w:rsidR="00DD357A" w:rsidRPr="00640D01">
        <w:t xml:space="preserve"> </w:t>
      </w:r>
      <w:r w:rsidR="00D93872" w:rsidRPr="00640D01">
        <w:t xml:space="preserve">SIP </w:t>
      </w:r>
      <w:r w:rsidR="006C1F63" w:rsidRPr="00640D01">
        <w:t>MVEB</w:t>
      </w:r>
      <w:r w:rsidR="00D93872" w:rsidRPr="00640D01">
        <w:t>(s)</w:t>
      </w:r>
      <w:r w:rsidR="00DD357A" w:rsidRPr="00640D01">
        <w:t>, which establish emissions ceiling</w:t>
      </w:r>
      <w:r w:rsidR="00A66815" w:rsidRPr="00640D01">
        <w:t>s</w:t>
      </w:r>
      <w:r w:rsidR="00DD357A" w:rsidRPr="00640D01">
        <w:t xml:space="preserve"> for the regional transportation network.</w:t>
      </w:r>
    </w:p>
    <w:p w14:paraId="39F72114" w14:textId="0DC077AB" w:rsidR="006226C5" w:rsidRPr="00640D01" w:rsidRDefault="006226C5" w:rsidP="00446FEB">
      <w:pPr>
        <w:pStyle w:val="BodyText"/>
      </w:pPr>
      <w:r w:rsidRPr="00640D01">
        <w:t xml:space="preserve">As the </w:t>
      </w:r>
      <w:r w:rsidR="00B82961" w:rsidRPr="00640D01">
        <w:rPr>
          <w:b/>
          <w:bCs/>
          <w:color w:val="C00000"/>
        </w:rPr>
        <w:fldChar w:fldCharType="begin"/>
      </w:r>
      <w:r w:rsidR="00B82961" w:rsidRPr="00640D01">
        <w:instrText xml:space="preserve"> REF RegionName \h </w:instrText>
      </w:r>
      <w:r w:rsidR="00B82961" w:rsidRPr="00640D01">
        <w:rPr>
          <w:b/>
          <w:bCs/>
          <w:color w:val="C00000"/>
        </w:rPr>
      </w:r>
      <w:r w:rsidR="00B82961" w:rsidRPr="00640D01">
        <w:rPr>
          <w:b/>
          <w:bCs/>
          <w:color w:val="C00000"/>
        </w:rPr>
        <w:fldChar w:fldCharType="separate"/>
      </w:r>
      <w:sdt>
        <w:sdtPr>
          <w:rPr>
            <w:b/>
            <w:bCs/>
            <w:color w:val="C00000"/>
          </w:rPr>
          <w:alias w:val="Region Name"/>
          <w:tag w:val="Region Name"/>
          <w:id w:val="-688828593"/>
          <w:placeholder>
            <w:docPart w:val="ACA4BB2D70FB42E6ABCBDDEF5D2F17A3"/>
          </w:placeholder>
          <w:dropDownList>
            <w:listItem w:displayText="[Region name]" w:value="[Region name]"/>
            <w:listItem w:displayText="Beaumont-Port Arthur" w:value="Beaumont-Port Arthur"/>
            <w:listItem w:displayText="Dallas-Fort Worth" w:value="Dallas-Fort Worth"/>
            <w:listItem w:displayText="El Paso" w:value="El Paso"/>
            <w:listItem w:displayText="Houston-Galveston-Brazoria" w:value="Houston-Galveston-Brazoria"/>
            <w:listItem w:displayText="San Antonio" w:value="San Antonio"/>
          </w:dropDownList>
        </w:sdtPr>
        <w:sdtContent>
          <w:r w:rsidR="00514311">
            <w:rPr>
              <w:b/>
              <w:bCs/>
              <w:color w:val="C00000"/>
            </w:rPr>
            <w:t>[Region name]</w:t>
          </w:r>
        </w:sdtContent>
      </w:sdt>
      <w:r w:rsidR="00B82961" w:rsidRPr="00640D01">
        <w:rPr>
          <w:b/>
          <w:bCs/>
          <w:color w:val="C00000"/>
        </w:rPr>
        <w:fldChar w:fldCharType="end"/>
      </w:r>
      <w:r w:rsidR="007C03D2" w:rsidRPr="00640D01">
        <w:t>region</w:t>
      </w:r>
      <w:r w:rsidR="00996E9D" w:rsidRPr="00640D01">
        <w:t>al</w:t>
      </w:r>
      <w:r w:rsidR="007C03D2" w:rsidRPr="00640D01">
        <w:t xml:space="preserve"> </w:t>
      </w:r>
      <w:r w:rsidRPr="00640D01">
        <w:t xml:space="preserve">MPO, </w:t>
      </w:r>
      <w:r w:rsidR="006B411F" w:rsidRPr="00640D01">
        <w:rPr>
          <w:rStyle w:val="Style2"/>
        </w:rPr>
        <w:fldChar w:fldCharType="begin"/>
      </w:r>
      <w:r w:rsidR="006B411F" w:rsidRPr="00640D01">
        <w:instrText xml:space="preserve"> REF MPOName \h </w:instrText>
      </w:r>
      <w:r w:rsidR="006B411F" w:rsidRPr="00640D01">
        <w:rPr>
          <w:rStyle w:val="Style2"/>
        </w:rPr>
      </w:r>
      <w:r w:rsidR="006B411F" w:rsidRPr="00640D01">
        <w:rPr>
          <w:rStyle w:val="Style2"/>
        </w:rPr>
        <w:fldChar w:fldCharType="separate"/>
      </w:r>
      <w:sdt>
        <w:sdtPr>
          <w:rPr>
            <w:b/>
            <w:bCs/>
            <w:color w:val="C00000"/>
          </w:rPr>
          <w:alias w:val="Select MPO"/>
          <w:tag w:val="Select MPO"/>
          <w:id w:val="1277449614"/>
          <w:placeholder>
            <w:docPart w:val="DB49053B596448A2BB55C7C435E7370B"/>
          </w:placeholder>
          <w:showingPlcHdr/>
          <w:dropDownList>
            <w:listItem w:value="Choose an item."/>
            <w:listItem w:displayText="AAMPO" w:value="AAMPO"/>
            <w:listItem w:displayText="El Paso MPO" w:value="El Paso MPO"/>
            <w:listItem w:displayText="H-GAC" w:value="H-GAC"/>
            <w:listItem w:displayText="NCTCOG" w:value="NCTCOG"/>
            <w:listItem w:displayText="SETRPC" w:value="SETRPC"/>
          </w:dropDownList>
        </w:sdtPr>
        <w:sdtContent>
          <w:r w:rsidR="00514311" w:rsidRPr="00640D01">
            <w:rPr>
              <w:rStyle w:val="Style2"/>
              <w:b w:val="0"/>
              <w:bCs/>
            </w:rPr>
            <w:t>[</w:t>
          </w:r>
          <w:r w:rsidR="00514311" w:rsidRPr="00640D01">
            <w:rPr>
              <w:b/>
              <w:bCs/>
              <w:color w:val="C00000"/>
            </w:rPr>
            <w:t>MPO Name]</w:t>
          </w:r>
        </w:sdtContent>
      </w:sdt>
      <w:r w:rsidR="006B411F" w:rsidRPr="00640D01">
        <w:rPr>
          <w:rStyle w:val="Style2"/>
        </w:rPr>
        <w:fldChar w:fldCharType="end"/>
      </w:r>
      <w:r w:rsidR="00703D66" w:rsidRPr="00640D01">
        <w:rPr>
          <w:rStyle w:val="Style2"/>
        </w:rPr>
        <w:t xml:space="preserve"> </w:t>
      </w:r>
      <w:r w:rsidRPr="00640D01">
        <w:t xml:space="preserve">is responsible for conducting the air quality conformity analysis to address the </w:t>
      </w:r>
      <w:r w:rsidR="005C3BC6" w:rsidRPr="00640D01">
        <w:rPr>
          <w:rFonts w:eastAsia="MS Gothic" w:cs="Times New Roman"/>
          <w:color w:val="7030A0"/>
        </w:rPr>
        <w:t>[</w:t>
      </w:r>
      <w:r w:rsidR="00925B2E" w:rsidRPr="00640D01">
        <w:rPr>
          <w:rFonts w:eastAsia="MS Gothic" w:cs="Times New Roman"/>
          <w:b/>
          <w:bCs/>
          <w:color w:val="7030A0"/>
        </w:rPr>
        <w:t xml:space="preserve">name </w:t>
      </w:r>
      <w:r w:rsidR="005C3BC6" w:rsidRPr="00640D01">
        <w:rPr>
          <w:rFonts w:eastAsia="MS Gothic" w:cs="Times New Roman"/>
          <w:b/>
          <w:bCs/>
          <w:color w:val="7030A0"/>
        </w:rPr>
        <w:t>of NAAQS</w:t>
      </w:r>
      <w:r w:rsidR="00996E9D" w:rsidRPr="00640D01">
        <w:rPr>
          <w:rFonts w:eastAsia="MS Gothic" w:cs="Times New Roman"/>
          <w:color w:val="7030A0"/>
        </w:rPr>
        <w:t xml:space="preserve"> </w:t>
      </w:r>
      <w:r w:rsidR="00925B2E" w:rsidRPr="00640D01">
        <w:rPr>
          <w:rFonts w:eastAsia="MS Gothic" w:cs="Times New Roman"/>
          <w:color w:val="7030A0"/>
        </w:rPr>
        <w:t>(</w:t>
      </w:r>
      <w:r w:rsidR="00996E9D" w:rsidRPr="00640D01">
        <w:rPr>
          <w:rFonts w:eastAsia="MS Gothic" w:cs="Times New Roman"/>
          <w:color w:val="7030A0"/>
        </w:rPr>
        <w:t>e</w:t>
      </w:r>
      <w:r w:rsidR="005C3BC6" w:rsidRPr="00640D01">
        <w:rPr>
          <w:rFonts w:eastAsia="MS Gothic" w:cs="Times New Roman"/>
          <w:color w:val="7030A0"/>
        </w:rPr>
        <w:t xml:space="preserve">.g., 2015 </w:t>
      </w:r>
      <w:r w:rsidR="00925B2E" w:rsidRPr="00640D01">
        <w:rPr>
          <w:rFonts w:eastAsia="MS Gothic" w:cs="Times New Roman"/>
          <w:color w:val="7030A0"/>
        </w:rPr>
        <w:t>ozone</w:t>
      </w:r>
      <w:r w:rsidR="005C3BC6" w:rsidRPr="00640D01">
        <w:rPr>
          <w:rFonts w:eastAsia="MS Gothic" w:cs="Times New Roman"/>
          <w:color w:val="7030A0"/>
        </w:rPr>
        <w:t>, PM</w:t>
      </w:r>
      <w:r w:rsidR="005C3BC6" w:rsidRPr="00176A31">
        <w:rPr>
          <w:rFonts w:eastAsia="MS Gothic" w:cs="Times New Roman"/>
          <w:color w:val="7030A0"/>
          <w:vertAlign w:val="subscript"/>
        </w:rPr>
        <w:t>10</w:t>
      </w:r>
      <w:r w:rsidR="005C3BC6" w:rsidRPr="00640D01">
        <w:rPr>
          <w:rFonts w:eastAsia="MS Gothic" w:cs="Times New Roman"/>
          <w:color w:val="7030A0"/>
        </w:rPr>
        <w:t>, etc.</w:t>
      </w:r>
      <w:r w:rsidR="00925B2E" w:rsidRPr="00640D01">
        <w:rPr>
          <w:rFonts w:eastAsia="MS Gothic" w:cs="Times New Roman"/>
          <w:color w:val="7030A0"/>
        </w:rPr>
        <w:t>)</w:t>
      </w:r>
      <w:r w:rsidR="005C3BC6" w:rsidRPr="00640D01">
        <w:rPr>
          <w:rFonts w:eastAsia="MS Gothic" w:cs="Times New Roman"/>
          <w:color w:val="7030A0"/>
        </w:rPr>
        <w:t>]</w:t>
      </w:r>
      <w:r w:rsidR="005C3BC6" w:rsidRPr="00640D01">
        <w:rPr>
          <w:rFonts w:eastAsia="MS Gothic" w:cs="Times New Roman"/>
        </w:rPr>
        <w:t>.</w:t>
      </w:r>
    </w:p>
    <w:p w14:paraId="03552711" w14:textId="00FED22D" w:rsidR="00F4788E" w:rsidRPr="00640D01" w:rsidRDefault="00000000" w:rsidP="00446FEB">
      <w:pPr>
        <w:pStyle w:val="BodyTextBold"/>
      </w:pPr>
      <w:sdt>
        <w:sdtPr>
          <w:id w:val="-560099691"/>
          <w14:checkbox>
            <w14:checked w14:val="0"/>
            <w14:checkedState w14:val="2612" w14:font="MS Gothic"/>
            <w14:uncheckedState w14:val="2610" w14:font="MS Gothic"/>
          </w14:checkbox>
        </w:sdtPr>
        <w:sdtContent>
          <w:r w:rsidR="00114CDF" w:rsidRPr="00640D01">
            <w:rPr>
              <w:rFonts w:ascii="Segoe UI Symbol" w:hAnsi="Segoe UI Symbol" w:cs="Segoe UI Symbol"/>
            </w:rPr>
            <w:t>☐</w:t>
          </w:r>
        </w:sdtContent>
      </w:sdt>
      <w:r w:rsidR="00114CDF" w:rsidRPr="00640D01">
        <w:t xml:space="preserve"> </w:t>
      </w:r>
      <w:r w:rsidR="00717A09" w:rsidRPr="00640D01">
        <w:t xml:space="preserve">For </w:t>
      </w:r>
      <w:r w:rsidR="007E608D" w:rsidRPr="00640D01">
        <w:t xml:space="preserve">moderate and above ozone </w:t>
      </w:r>
      <w:r w:rsidR="00717A09" w:rsidRPr="00640D01">
        <w:t>n</w:t>
      </w:r>
      <w:r w:rsidR="005F7022" w:rsidRPr="00640D01">
        <w:t xml:space="preserve">onattainment areas without </w:t>
      </w:r>
      <w:r w:rsidR="007E608D" w:rsidRPr="00640D01">
        <w:t xml:space="preserve">an </w:t>
      </w:r>
      <w:r w:rsidR="00D93872" w:rsidRPr="00640D01">
        <w:t>adequate or approved SIP MVEB(s)</w:t>
      </w:r>
    </w:p>
    <w:p w14:paraId="18AEB608" w14:textId="3D0D7408" w:rsidR="00114CDF" w:rsidRPr="00640D01" w:rsidRDefault="00367191" w:rsidP="00446FEB">
      <w:pPr>
        <w:pStyle w:val="BodyText"/>
      </w:pPr>
      <w:r w:rsidRPr="00640D01">
        <w:t>This</w:t>
      </w:r>
      <w:r w:rsidR="002F72EF" w:rsidRPr="00640D01">
        <w:t xml:space="preserve"> </w:t>
      </w:r>
      <w:r w:rsidR="00565C5D" w:rsidRPr="00640D01">
        <w:t xml:space="preserve">conformity </w:t>
      </w:r>
      <w:r w:rsidR="002F72EF" w:rsidRPr="00640D01">
        <w:t xml:space="preserve">analysis must satisfy both </w:t>
      </w:r>
      <w:r w:rsidR="005112F0" w:rsidRPr="00640D01">
        <w:t xml:space="preserve">the </w:t>
      </w:r>
      <w:r w:rsidR="004407F1" w:rsidRPr="00640D01">
        <w:t>build/no</w:t>
      </w:r>
      <w:r w:rsidR="00996E9D" w:rsidRPr="00640D01">
        <w:t>-</w:t>
      </w:r>
      <w:r w:rsidR="004407F1" w:rsidRPr="00640D01">
        <w:t xml:space="preserve">build and </w:t>
      </w:r>
      <w:r w:rsidR="007E608D" w:rsidRPr="00640D01">
        <w:t xml:space="preserve">the </w:t>
      </w:r>
      <w:r w:rsidR="004407F1" w:rsidRPr="00640D01">
        <w:t xml:space="preserve">less-than-baseline </w:t>
      </w:r>
      <w:r w:rsidR="00B64325" w:rsidRPr="00640D01">
        <w:t xml:space="preserve">interim emissions </w:t>
      </w:r>
      <w:r w:rsidR="004407F1" w:rsidRPr="00640D01">
        <w:t>test</w:t>
      </w:r>
      <w:r w:rsidR="007E608D" w:rsidRPr="00640D01">
        <w:t>s</w:t>
      </w:r>
      <w:r w:rsidR="00114CDF" w:rsidRPr="00640D01">
        <w:t xml:space="preserve">. </w:t>
      </w:r>
      <w:r w:rsidR="004407F1" w:rsidRPr="00640D01">
        <w:t xml:space="preserve">For </w:t>
      </w:r>
      <w:r w:rsidR="007E608D" w:rsidRPr="00640D01">
        <w:t xml:space="preserve">the </w:t>
      </w:r>
      <w:r w:rsidR="004407F1" w:rsidRPr="00640D01">
        <w:t>build/no</w:t>
      </w:r>
      <w:r w:rsidR="00996E9D" w:rsidRPr="00640D01">
        <w:t>-</w:t>
      </w:r>
      <w:r w:rsidR="004407F1" w:rsidRPr="00640D01">
        <w:t xml:space="preserve">build test, </w:t>
      </w:r>
      <w:r w:rsidR="00595E55" w:rsidRPr="00640D01">
        <w:t xml:space="preserve">the regional transportation network </w:t>
      </w:r>
      <w:r w:rsidR="007E608D" w:rsidRPr="00640D01">
        <w:t xml:space="preserve">build (or action scenario) </w:t>
      </w:r>
      <w:r w:rsidR="00595E55" w:rsidRPr="00640D01">
        <w:t xml:space="preserve">emissions for each analysis year </w:t>
      </w:r>
      <w:r w:rsidR="007E608D" w:rsidRPr="00640D01">
        <w:t>must be less than the no</w:t>
      </w:r>
      <w:r w:rsidR="00996E9D" w:rsidRPr="00640D01">
        <w:t>-</w:t>
      </w:r>
      <w:r w:rsidR="00595E55" w:rsidRPr="00640D01">
        <w:t xml:space="preserve">build (or </w:t>
      </w:r>
      <w:r w:rsidR="007E608D" w:rsidRPr="00640D01">
        <w:t>baseline</w:t>
      </w:r>
      <w:r w:rsidR="00595E55" w:rsidRPr="00640D01">
        <w:t xml:space="preserve"> scenario</w:t>
      </w:r>
      <w:r w:rsidR="007E608D" w:rsidRPr="00640D01">
        <w:t>)</w:t>
      </w:r>
      <w:r w:rsidR="00595E55" w:rsidRPr="00640D01">
        <w:t xml:space="preserve"> </w:t>
      </w:r>
      <w:r w:rsidR="007E608D" w:rsidRPr="00640D01">
        <w:t xml:space="preserve">emissions for the analysis year. For the less-than-baseline </w:t>
      </w:r>
      <w:r w:rsidR="00B64325" w:rsidRPr="00640D01">
        <w:t xml:space="preserve">test, the build (or action scenario) emissions for each analysis year must be less than the </w:t>
      </w:r>
      <w:r w:rsidR="00925B2E" w:rsidRPr="00640D01">
        <w:t>baseline-</w:t>
      </w:r>
      <w:r w:rsidR="00B64325" w:rsidRPr="00640D01">
        <w:t>year</w:t>
      </w:r>
      <w:r w:rsidR="00300B6C" w:rsidRPr="00640D01">
        <w:rPr>
          <w:rStyle w:val="FootnoteReference"/>
        </w:rPr>
        <w:footnoteReference w:id="2"/>
      </w:r>
      <w:r w:rsidR="00B64325" w:rsidRPr="00640D01">
        <w:t xml:space="preserve"> emissions. </w:t>
      </w:r>
    </w:p>
    <w:p w14:paraId="1A805A42" w14:textId="666B7071" w:rsidR="00D93872" w:rsidRPr="00640D01" w:rsidRDefault="000659EE" w:rsidP="00446FEB">
      <w:pPr>
        <w:pStyle w:val="BodyText"/>
      </w:pPr>
      <w:r w:rsidRPr="00640D01">
        <w:lastRenderedPageBreak/>
        <w:t xml:space="preserve">As the </w:t>
      </w:r>
      <w:r w:rsidR="00B82961" w:rsidRPr="00640D01">
        <w:rPr>
          <w:b/>
          <w:bCs/>
          <w:color w:val="C00000"/>
        </w:rPr>
        <w:fldChar w:fldCharType="begin"/>
      </w:r>
      <w:r w:rsidR="00B82961" w:rsidRPr="00640D01">
        <w:instrText xml:space="preserve"> REF RegionName \h </w:instrText>
      </w:r>
      <w:r w:rsidR="00B82961" w:rsidRPr="00640D01">
        <w:rPr>
          <w:b/>
          <w:bCs/>
          <w:color w:val="C00000"/>
        </w:rPr>
      </w:r>
      <w:r w:rsidR="00B82961" w:rsidRPr="00640D01">
        <w:rPr>
          <w:b/>
          <w:bCs/>
          <w:color w:val="C00000"/>
        </w:rPr>
        <w:fldChar w:fldCharType="separate"/>
      </w:r>
      <w:sdt>
        <w:sdtPr>
          <w:rPr>
            <w:b/>
            <w:bCs/>
            <w:color w:val="C00000"/>
          </w:rPr>
          <w:alias w:val="Region Name"/>
          <w:tag w:val="Region Name"/>
          <w:id w:val="-1566253329"/>
          <w:placeholder>
            <w:docPart w:val="F7927254EA074E168725F057DACE8CA7"/>
          </w:placeholder>
          <w:dropDownList>
            <w:listItem w:displayText="[Region name]" w:value="[Region name]"/>
            <w:listItem w:displayText="Beaumont-Port Arthur" w:value="Beaumont-Port Arthur"/>
            <w:listItem w:displayText="Dallas-Fort Worth" w:value="Dallas-Fort Worth"/>
            <w:listItem w:displayText="El Paso" w:value="El Paso"/>
            <w:listItem w:displayText="Houston-Galveston-Brazoria" w:value="Houston-Galveston-Brazoria"/>
            <w:listItem w:displayText="San Antonio" w:value="San Antonio"/>
          </w:dropDownList>
        </w:sdtPr>
        <w:sdtContent>
          <w:r w:rsidR="00514311">
            <w:rPr>
              <w:b/>
              <w:bCs/>
              <w:color w:val="C00000"/>
            </w:rPr>
            <w:t>[Region name]</w:t>
          </w:r>
        </w:sdtContent>
      </w:sdt>
      <w:r w:rsidR="00B82961" w:rsidRPr="00640D01">
        <w:rPr>
          <w:b/>
          <w:bCs/>
          <w:color w:val="C00000"/>
        </w:rPr>
        <w:fldChar w:fldCharType="end"/>
      </w:r>
      <w:r w:rsidRPr="00640D01">
        <w:t xml:space="preserve">MPO, </w:t>
      </w:r>
      <w:sdt>
        <w:sdtPr>
          <w:alias w:val="Select MPO"/>
          <w:tag w:val="Select MPO"/>
          <w:id w:val="1626114403"/>
          <w:placeholder>
            <w:docPart w:val="77C990A96F044DE0BF395DEDC08578A7"/>
          </w:placeholder>
          <w:showingPlcHdr/>
          <w:dropDownList>
            <w:listItem w:value="Choose an item."/>
            <w:listItem w:displayText="AAMPO" w:value="AAMPO"/>
            <w:listItem w:displayText="El Paso MPO" w:value="El Paso MPO"/>
            <w:listItem w:displayText="H-GAC" w:value="H-GAC"/>
            <w:listItem w:displayText="NCTCOG" w:value="NCTCOG"/>
            <w:listItem w:displayText="SETRPC" w:value="SETRPC"/>
          </w:dropDownList>
        </w:sdtPr>
        <w:sdtContent>
          <w:r w:rsidR="00B82961" w:rsidRPr="00640D01">
            <w:rPr>
              <w:rStyle w:val="Style2"/>
            </w:rPr>
            <w:t>[</w:t>
          </w:r>
          <w:r w:rsidR="00B82961" w:rsidRPr="00640D01">
            <w:rPr>
              <w:b/>
              <w:bCs/>
              <w:color w:val="C00000"/>
            </w:rPr>
            <w:t>MPO Name]</w:t>
          </w:r>
        </w:sdtContent>
      </w:sdt>
      <w:r w:rsidR="00B82961" w:rsidRPr="00640D01">
        <w:t xml:space="preserve"> </w:t>
      </w:r>
      <w:r w:rsidRPr="00640D01">
        <w:t xml:space="preserve">is responsible for conducting the air quality conformity analysis to address the </w:t>
      </w:r>
      <w:r w:rsidR="00BE1493" w:rsidRPr="00176A31">
        <w:rPr>
          <w:color w:val="7030A0"/>
        </w:rPr>
        <w:t>[</w:t>
      </w:r>
      <w:r w:rsidR="00925B2E" w:rsidRPr="00640D01">
        <w:rPr>
          <w:b/>
          <w:bCs/>
          <w:color w:val="7030A0"/>
        </w:rPr>
        <w:t xml:space="preserve">name </w:t>
      </w:r>
      <w:r w:rsidR="00BE1493" w:rsidRPr="00640D01">
        <w:rPr>
          <w:b/>
          <w:bCs/>
          <w:color w:val="7030A0"/>
        </w:rPr>
        <w:t xml:space="preserve">of NAAQS </w:t>
      </w:r>
      <w:r w:rsidR="00925B2E" w:rsidRPr="00176A31">
        <w:rPr>
          <w:color w:val="7030A0"/>
        </w:rPr>
        <w:t>(</w:t>
      </w:r>
      <w:r w:rsidR="00996E9D" w:rsidRPr="00640D01">
        <w:rPr>
          <w:color w:val="7030A0"/>
        </w:rPr>
        <w:t>e</w:t>
      </w:r>
      <w:r w:rsidR="00BE1493" w:rsidRPr="00640D01">
        <w:rPr>
          <w:color w:val="7030A0"/>
        </w:rPr>
        <w:t>.g., 2015 Ozone NAAQS, etc.</w:t>
      </w:r>
      <w:r w:rsidR="00925B2E" w:rsidRPr="00640D01">
        <w:rPr>
          <w:color w:val="7030A0"/>
        </w:rPr>
        <w:t>)</w:t>
      </w:r>
      <w:r w:rsidR="00BE1493" w:rsidRPr="00640D01">
        <w:rPr>
          <w:b/>
          <w:bCs/>
          <w:color w:val="7030A0"/>
        </w:rPr>
        <w:t>]</w:t>
      </w:r>
      <w:r w:rsidR="00996E9D" w:rsidRPr="00176A31">
        <w:t>.</w:t>
      </w:r>
    </w:p>
    <w:p w14:paraId="04677502" w14:textId="55D26F07" w:rsidR="00B012D5" w:rsidRPr="00640D01" w:rsidRDefault="000329F5" w:rsidP="00B012D5">
      <w:pPr>
        <w:pStyle w:val="Heading2"/>
      </w:pPr>
      <w:bookmarkStart w:id="12" w:name="_Toc190242675"/>
      <w:r w:rsidRPr="00640D01">
        <w:t>Air Quality and Nonattainment Area</w:t>
      </w:r>
      <w:bookmarkEnd w:id="12"/>
      <w:r w:rsidR="00FA5AF2" w:rsidRPr="00640D01">
        <w:t xml:space="preserve"> </w:t>
      </w:r>
    </w:p>
    <w:p w14:paraId="4347E3CD" w14:textId="04FA412E" w:rsidR="00BA0F0C" w:rsidRPr="00640D01" w:rsidRDefault="00BA0F0C" w:rsidP="00BA0F0C">
      <w:pPr>
        <w:pStyle w:val="Heading3"/>
      </w:pPr>
      <w:bookmarkStart w:id="13" w:name="_Toc190242676"/>
      <w:r w:rsidRPr="00640D01">
        <w:t>Air Pollution</w:t>
      </w:r>
      <w:bookmarkEnd w:id="13"/>
    </w:p>
    <w:p w14:paraId="6A17297C" w14:textId="691489ED" w:rsidR="00FF5714" w:rsidRPr="00640D01" w:rsidRDefault="00FF5714" w:rsidP="00176A31">
      <w:pPr>
        <w:pStyle w:val="BodyText"/>
      </w:pPr>
      <w:r w:rsidRPr="00640D01">
        <w:t>P</w:t>
      </w:r>
      <w:r w:rsidR="004E57DA" w:rsidRPr="00640D01">
        <w:t>ollutant(s) covered in this conformity analysis</w:t>
      </w:r>
      <w:r w:rsidR="00996E9D" w:rsidRPr="00640D01">
        <w:t xml:space="preserve"> include the following.</w:t>
      </w:r>
    </w:p>
    <w:p w14:paraId="4EF7376B" w14:textId="19FB3676" w:rsidR="00FF5714" w:rsidRPr="00640D01" w:rsidRDefault="00FF5714" w:rsidP="00446FEB">
      <w:pPr>
        <w:pStyle w:val="BodyText"/>
      </w:pPr>
      <w:r w:rsidRPr="00640D01">
        <w:t>Check all that apply.</w:t>
      </w:r>
    </w:p>
    <w:p w14:paraId="39B20DE7" w14:textId="327A0AF3" w:rsidR="000E68BA" w:rsidRPr="00640D01" w:rsidRDefault="00000000" w:rsidP="00446FEB">
      <w:pPr>
        <w:pStyle w:val="BulletBoxindent"/>
      </w:pPr>
      <w:sdt>
        <w:sdtPr>
          <w:id w:val="1091055294"/>
          <w14:checkbox>
            <w14:checked w14:val="0"/>
            <w14:checkedState w14:val="2612" w14:font="MS Gothic"/>
            <w14:uncheckedState w14:val="2610" w14:font="MS Gothic"/>
          </w14:checkbox>
        </w:sdtPr>
        <w:sdtContent>
          <w:r w:rsidR="00FF5714" w:rsidRPr="00640D01">
            <w:rPr>
              <w:rFonts w:ascii="MS Gothic" w:eastAsia="MS Gothic" w:hAnsi="MS Gothic"/>
            </w:rPr>
            <w:t>☐</w:t>
          </w:r>
        </w:sdtContent>
      </w:sdt>
      <w:r w:rsidR="00446FEB" w:rsidRPr="00640D01">
        <w:tab/>
      </w:r>
      <w:r w:rsidR="00FF5714" w:rsidRPr="00176A31">
        <w:rPr>
          <w:b/>
          <w:bCs/>
        </w:rPr>
        <w:t xml:space="preserve">Precursors to </w:t>
      </w:r>
      <w:r w:rsidR="00333638" w:rsidRPr="00640D01">
        <w:rPr>
          <w:b/>
          <w:bCs/>
        </w:rPr>
        <w:t>o</w:t>
      </w:r>
      <w:r w:rsidR="00333638" w:rsidRPr="00176A31">
        <w:rPr>
          <w:b/>
          <w:bCs/>
        </w:rPr>
        <w:t>zone</w:t>
      </w:r>
      <w:r w:rsidR="003B2336" w:rsidRPr="00176A31">
        <w:rPr>
          <w:b/>
          <w:bCs/>
        </w:rPr>
        <w:t>:</w:t>
      </w:r>
      <w:r w:rsidR="003B2336" w:rsidRPr="00640D01">
        <w:t xml:space="preserve"> </w:t>
      </w:r>
      <w:r w:rsidR="00AE46C6" w:rsidRPr="00640D01">
        <w:t>Volatile</w:t>
      </w:r>
      <w:r w:rsidR="00FF5714" w:rsidRPr="00640D01">
        <w:t xml:space="preserve"> </w:t>
      </w:r>
      <w:r w:rsidR="00333638" w:rsidRPr="00640D01">
        <w:t xml:space="preserve">organic compounds </w:t>
      </w:r>
      <w:r w:rsidR="00FF5714" w:rsidRPr="00640D01">
        <w:t>(VOC</w:t>
      </w:r>
      <w:r w:rsidR="00333638" w:rsidRPr="00640D01">
        <w:t>s</w:t>
      </w:r>
      <w:r w:rsidR="00FF5714" w:rsidRPr="00640D01">
        <w:t xml:space="preserve">) and </w:t>
      </w:r>
      <w:r w:rsidR="00333638" w:rsidRPr="00640D01">
        <w:t xml:space="preserve">nitrogen oxides </w:t>
      </w:r>
      <w:r w:rsidR="00FF5714" w:rsidRPr="00640D01">
        <w:t>(NOx)</w:t>
      </w:r>
      <w:r w:rsidR="00333638" w:rsidRPr="00640D01">
        <w:t>:</w:t>
      </w:r>
      <w:r w:rsidR="00FF5714" w:rsidRPr="00640D01">
        <w:t xml:space="preserve"> </w:t>
      </w:r>
      <w:r w:rsidR="00B90F10" w:rsidRPr="00640D01">
        <w:t>“Ground-level ozone is a colorless compound formed when NOx and VOC chemically react in the presence of sunlight. It is not directly emitted into the air. Ground level ozone is known to trigger a variety of health problems and is particularly harmful to children, older adults, and people of all ages who have lung diseases, such as asthma”</w:t>
      </w:r>
      <w:r w:rsidR="000E68BA" w:rsidRPr="00640D01">
        <w:t xml:space="preserve"> (</w:t>
      </w:r>
      <w:r w:rsidR="008432FE" w:rsidRPr="00640D01">
        <w:t>source</w:t>
      </w:r>
      <w:r w:rsidR="000E68BA" w:rsidRPr="00640D01">
        <w:t>: EPA)</w:t>
      </w:r>
      <w:r w:rsidR="00333638" w:rsidRPr="00640D01">
        <w:t>.</w:t>
      </w:r>
    </w:p>
    <w:p w14:paraId="44FCA04F" w14:textId="0ABB50AD" w:rsidR="00FF5714" w:rsidRPr="00640D01" w:rsidRDefault="00000000" w:rsidP="00446FEB">
      <w:pPr>
        <w:pStyle w:val="BulletBoxindent"/>
      </w:pPr>
      <w:sdt>
        <w:sdtPr>
          <w:id w:val="1851979222"/>
          <w14:checkbox>
            <w14:checked w14:val="0"/>
            <w14:checkedState w14:val="2612" w14:font="MS Gothic"/>
            <w14:uncheckedState w14:val="2610" w14:font="MS Gothic"/>
          </w14:checkbox>
        </w:sdtPr>
        <w:sdtContent>
          <w:r w:rsidR="00FF5714" w:rsidRPr="00640D01">
            <w:rPr>
              <w:rFonts w:ascii="MS Gothic" w:eastAsia="MS Gothic" w:hAnsi="MS Gothic"/>
            </w:rPr>
            <w:t>☐</w:t>
          </w:r>
        </w:sdtContent>
      </w:sdt>
      <w:r w:rsidR="00446FEB" w:rsidRPr="00640D01">
        <w:tab/>
      </w:r>
      <w:r w:rsidR="00FF5714" w:rsidRPr="00176A31">
        <w:rPr>
          <w:b/>
          <w:bCs/>
        </w:rPr>
        <w:t xml:space="preserve">Carbon </w:t>
      </w:r>
      <w:r w:rsidR="00333638" w:rsidRPr="00640D01">
        <w:rPr>
          <w:b/>
          <w:bCs/>
        </w:rPr>
        <w:t>m</w:t>
      </w:r>
      <w:r w:rsidR="00333638" w:rsidRPr="00176A31">
        <w:rPr>
          <w:b/>
          <w:bCs/>
        </w:rPr>
        <w:t xml:space="preserve">onoxide </w:t>
      </w:r>
      <w:r w:rsidR="00492C78" w:rsidRPr="00176A31">
        <w:rPr>
          <w:b/>
          <w:bCs/>
        </w:rPr>
        <w:t>(CO)</w:t>
      </w:r>
      <w:r w:rsidR="00333638" w:rsidRPr="00176A31">
        <w:rPr>
          <w:b/>
          <w:bCs/>
        </w:rPr>
        <w:t>:</w:t>
      </w:r>
      <w:r w:rsidR="00333638" w:rsidRPr="00640D01">
        <w:t xml:space="preserve"> </w:t>
      </w:r>
      <w:r w:rsidR="00046EED" w:rsidRPr="00640D01">
        <w:t>“</w:t>
      </w:r>
      <w:r w:rsidR="007D5C18" w:rsidRPr="00640D01">
        <w:t>CO is a colorless, odorless gas that can be harmful when inhaled in large amounts. CO is released when something is burned. The greatest sources of CO to outdoor air are cars, trucks and other vehicles or machinery that burn fossil fuels.</w:t>
      </w:r>
      <w:r w:rsidR="00CB3E7D" w:rsidRPr="00640D01">
        <w:t xml:space="preserve"> Breathing air with a high concentration of CO reduces the amount of oxygen that can be transported in the blood stream to critical organs like the heart and brain. At very high levels, CO can cause dizziness, confusion, unconsciousness, and death</w:t>
      </w:r>
      <w:r w:rsidR="00046EED" w:rsidRPr="00640D01">
        <w:t>” (</w:t>
      </w:r>
      <w:r w:rsidR="008432FE" w:rsidRPr="00640D01">
        <w:t>source</w:t>
      </w:r>
      <w:r w:rsidR="00046EED" w:rsidRPr="00640D01">
        <w:t>:</w:t>
      </w:r>
      <w:r w:rsidR="00333638" w:rsidRPr="00640D01">
        <w:t xml:space="preserve"> </w:t>
      </w:r>
      <w:r w:rsidR="00046EED" w:rsidRPr="00640D01">
        <w:t>EPA)</w:t>
      </w:r>
      <w:r w:rsidR="00333638" w:rsidRPr="00640D01">
        <w:t>.</w:t>
      </w:r>
    </w:p>
    <w:p w14:paraId="71F5AFC9" w14:textId="0A044A65" w:rsidR="00FF5714" w:rsidRPr="00640D01" w:rsidRDefault="00000000" w:rsidP="00446FEB">
      <w:pPr>
        <w:pStyle w:val="BulletBoxindent"/>
      </w:pPr>
      <w:sdt>
        <w:sdtPr>
          <w:id w:val="431173009"/>
          <w14:checkbox>
            <w14:checked w14:val="0"/>
            <w14:checkedState w14:val="2612" w14:font="MS Gothic"/>
            <w14:uncheckedState w14:val="2610" w14:font="MS Gothic"/>
          </w14:checkbox>
        </w:sdtPr>
        <w:sdtContent>
          <w:r w:rsidR="00FF5714" w:rsidRPr="00640D01">
            <w:rPr>
              <w:rFonts w:ascii="MS Gothic" w:eastAsia="MS Gothic" w:hAnsi="MS Gothic"/>
            </w:rPr>
            <w:t>☐</w:t>
          </w:r>
        </w:sdtContent>
      </w:sdt>
      <w:r w:rsidR="00446FEB" w:rsidRPr="00640D01">
        <w:tab/>
      </w:r>
      <w:r w:rsidR="00D54619" w:rsidRPr="00176A31">
        <w:rPr>
          <w:b/>
          <w:bCs/>
        </w:rPr>
        <w:t>P</w:t>
      </w:r>
      <w:r w:rsidR="00FF5714" w:rsidRPr="00176A31">
        <w:rPr>
          <w:b/>
          <w:bCs/>
        </w:rPr>
        <w:t xml:space="preserve">articulate </w:t>
      </w:r>
      <w:r w:rsidR="00333638" w:rsidRPr="00640D01">
        <w:rPr>
          <w:b/>
          <w:bCs/>
        </w:rPr>
        <w:t>m</w:t>
      </w:r>
      <w:r w:rsidR="00333638" w:rsidRPr="00176A31">
        <w:rPr>
          <w:b/>
          <w:bCs/>
        </w:rPr>
        <w:t xml:space="preserve">atter </w:t>
      </w:r>
      <w:r w:rsidR="008432FE" w:rsidRPr="00640D01">
        <w:rPr>
          <w:b/>
          <w:bCs/>
        </w:rPr>
        <w:t xml:space="preserve">that is 10 micrometers in diameter or less </w:t>
      </w:r>
      <w:r w:rsidR="00117DD3" w:rsidRPr="00176A31">
        <w:rPr>
          <w:b/>
          <w:bCs/>
        </w:rPr>
        <w:t>(PM</w:t>
      </w:r>
      <w:r w:rsidR="00FF5714" w:rsidRPr="00176A31">
        <w:rPr>
          <w:b/>
          <w:bCs/>
          <w:vertAlign w:val="subscript"/>
        </w:rPr>
        <w:t>10</w:t>
      </w:r>
      <w:r w:rsidR="00117DD3" w:rsidRPr="00176A31">
        <w:rPr>
          <w:b/>
          <w:bCs/>
        </w:rPr>
        <w:t>)</w:t>
      </w:r>
      <w:r w:rsidR="00333638" w:rsidRPr="00640D01">
        <w:rPr>
          <w:b/>
          <w:bCs/>
        </w:rPr>
        <w:t>:</w:t>
      </w:r>
      <w:r w:rsidR="00FF5714" w:rsidRPr="00640D01">
        <w:t xml:space="preserve"> </w:t>
      </w:r>
      <w:r w:rsidR="003F6A33" w:rsidRPr="00640D01">
        <w:t xml:space="preserve">“PM-10 are </w:t>
      </w:r>
      <w:r w:rsidR="00F357F5" w:rsidRPr="00640D01">
        <w:t>inhalable particles, with diameters that are generally 10</w:t>
      </w:r>
      <w:r w:rsidR="008432FE" w:rsidRPr="00640D01">
        <w:t> </w:t>
      </w:r>
      <w:r w:rsidR="00F357F5" w:rsidRPr="00640D01">
        <w:t>micrometers and smaller.</w:t>
      </w:r>
      <w:r w:rsidR="009C1202" w:rsidRPr="00640D01">
        <w:t xml:space="preserve"> </w:t>
      </w:r>
      <w:r w:rsidR="00AB14B8" w:rsidRPr="00640D01">
        <w:t>PM-10 are either</w:t>
      </w:r>
      <w:r w:rsidR="009C1202" w:rsidRPr="00640D01">
        <w:t xml:space="preserve"> emitted directly from a source, such as construction sites, unpaved roads, fields, </w:t>
      </w:r>
      <w:r w:rsidR="00526296" w:rsidRPr="00640D01">
        <w:t>smokestacks,</w:t>
      </w:r>
      <w:r w:rsidR="009C1202" w:rsidRPr="00640D01">
        <w:t xml:space="preserve"> or fires</w:t>
      </w:r>
      <w:r w:rsidR="00AB14B8" w:rsidRPr="00640D01">
        <w:t xml:space="preserve">, or </w:t>
      </w:r>
      <w:r w:rsidR="009C1202" w:rsidRPr="00640D01">
        <w:t>form</w:t>
      </w:r>
      <w:r w:rsidR="00AB14B8" w:rsidRPr="00640D01">
        <w:t>ed</w:t>
      </w:r>
      <w:r w:rsidR="009C1202" w:rsidRPr="00640D01">
        <w:t xml:space="preserve"> in the atmosphere as a result of complex reactions of chemicals such as sulfur dioxide and nitrogen oxides, which are pollutants emitted from power plants, industries and automobiles.</w:t>
      </w:r>
      <w:r w:rsidR="00526296" w:rsidRPr="00640D01">
        <w:t xml:space="preserve"> PM-10 can get deep into the lungs, and some may even get into the bloodstream</w:t>
      </w:r>
      <w:r w:rsidR="003F6A33" w:rsidRPr="00640D01">
        <w:t>”</w:t>
      </w:r>
      <w:r w:rsidR="00F357F5" w:rsidRPr="00640D01">
        <w:t xml:space="preserve"> (</w:t>
      </w:r>
      <w:r w:rsidR="008432FE" w:rsidRPr="00640D01">
        <w:t>source</w:t>
      </w:r>
      <w:r w:rsidR="00F357F5" w:rsidRPr="00640D01">
        <w:t>: EPA)</w:t>
      </w:r>
      <w:r w:rsidR="00333638" w:rsidRPr="00640D01">
        <w:t>.</w:t>
      </w:r>
    </w:p>
    <w:p w14:paraId="189E3935" w14:textId="02CCD71B" w:rsidR="00FF5714" w:rsidRPr="00640D01" w:rsidRDefault="00000000" w:rsidP="00446FEB">
      <w:pPr>
        <w:pStyle w:val="BulletBoxindent"/>
      </w:pPr>
      <w:sdt>
        <w:sdtPr>
          <w:id w:val="850759193"/>
          <w14:checkbox>
            <w14:checked w14:val="0"/>
            <w14:checkedState w14:val="2612" w14:font="MS Gothic"/>
            <w14:uncheckedState w14:val="2610" w14:font="MS Gothic"/>
          </w14:checkbox>
        </w:sdtPr>
        <w:sdtContent>
          <w:r w:rsidR="00FF5714" w:rsidRPr="00640D01">
            <w:rPr>
              <w:rFonts w:ascii="MS Gothic" w:eastAsia="MS Gothic" w:hAnsi="MS Gothic"/>
            </w:rPr>
            <w:t>☐</w:t>
          </w:r>
        </w:sdtContent>
      </w:sdt>
      <w:r w:rsidR="00446FEB" w:rsidRPr="00640D01">
        <w:tab/>
      </w:r>
      <w:r w:rsidR="00FF5714" w:rsidRPr="00176A31">
        <w:rPr>
          <w:b/>
          <w:bCs/>
        </w:rPr>
        <w:t xml:space="preserve">Particulate </w:t>
      </w:r>
      <w:r w:rsidR="00333638" w:rsidRPr="00640D01">
        <w:rPr>
          <w:b/>
          <w:bCs/>
        </w:rPr>
        <w:t>m</w:t>
      </w:r>
      <w:r w:rsidR="00333638" w:rsidRPr="00176A31">
        <w:rPr>
          <w:b/>
          <w:bCs/>
        </w:rPr>
        <w:t xml:space="preserve">atter </w:t>
      </w:r>
      <w:r w:rsidR="008432FE" w:rsidRPr="00640D01">
        <w:rPr>
          <w:b/>
          <w:bCs/>
        </w:rPr>
        <w:t xml:space="preserve">that is 2.5 micrometers in diameter or less </w:t>
      </w:r>
      <w:r w:rsidR="00117DD3" w:rsidRPr="00176A31">
        <w:rPr>
          <w:b/>
          <w:bCs/>
        </w:rPr>
        <w:t>(PM</w:t>
      </w:r>
      <w:r w:rsidR="00FF5714" w:rsidRPr="00176A31">
        <w:rPr>
          <w:b/>
          <w:bCs/>
          <w:vertAlign w:val="subscript"/>
        </w:rPr>
        <w:t>2.5</w:t>
      </w:r>
      <w:r w:rsidR="00117DD3" w:rsidRPr="00176A31">
        <w:rPr>
          <w:b/>
          <w:bCs/>
        </w:rPr>
        <w:t>)</w:t>
      </w:r>
      <w:r w:rsidR="00333638" w:rsidRPr="00640D01">
        <w:rPr>
          <w:b/>
          <w:bCs/>
        </w:rPr>
        <w:t>:</w:t>
      </w:r>
      <w:r w:rsidR="00FF5714" w:rsidRPr="00640D01">
        <w:t xml:space="preserve"> </w:t>
      </w:r>
      <w:r w:rsidR="00526296" w:rsidRPr="00640D01">
        <w:t>“PM</w:t>
      </w:r>
      <w:r w:rsidR="00264287" w:rsidRPr="00640D01">
        <w:t xml:space="preserve"> </w:t>
      </w:r>
      <w:r w:rsidR="00526296" w:rsidRPr="00640D01">
        <w:t>2.5 are inhalable particles, with diameters that are generally 2.5</w:t>
      </w:r>
      <w:r w:rsidR="008432FE" w:rsidRPr="00640D01">
        <w:t> </w:t>
      </w:r>
      <w:r w:rsidR="00526296" w:rsidRPr="00640D01">
        <w:t>micrometers and smaller. PM</w:t>
      </w:r>
      <w:r w:rsidR="00264287" w:rsidRPr="00640D01">
        <w:t xml:space="preserve"> </w:t>
      </w:r>
      <w:r w:rsidR="00526296" w:rsidRPr="00640D01">
        <w:t>2.5 are either emitted directly from a source, such as construction sites, unpaved roads, fields, smokestacks, or fires, or formed in the atmosphere as a result of complex reactions of chemicals such as sulfur dioxide and nitrogen oxides, which are pollutants emitted from power plants, industries and automobiles.</w:t>
      </w:r>
      <w:r w:rsidR="00264287" w:rsidRPr="00640D01">
        <w:t xml:space="preserve"> PM 2.5 pose the greatest risk to health among</w:t>
      </w:r>
      <w:r w:rsidR="00151443" w:rsidRPr="00640D01">
        <w:t xml:space="preserve"> particulate matter</w:t>
      </w:r>
      <w:r w:rsidR="00526296" w:rsidRPr="00640D01">
        <w:t>” (</w:t>
      </w:r>
      <w:r w:rsidR="008432FE" w:rsidRPr="00640D01">
        <w:t>source</w:t>
      </w:r>
      <w:r w:rsidR="00526296" w:rsidRPr="00640D01">
        <w:t>:</w:t>
      </w:r>
      <w:r w:rsidR="00333638" w:rsidRPr="00640D01">
        <w:t xml:space="preserve"> </w:t>
      </w:r>
      <w:r w:rsidR="00526296" w:rsidRPr="00640D01">
        <w:t>EPA)</w:t>
      </w:r>
      <w:r w:rsidR="00333638" w:rsidRPr="00640D01">
        <w:t>.</w:t>
      </w:r>
    </w:p>
    <w:p w14:paraId="476FC6CE" w14:textId="1B169743" w:rsidR="00BA0F0C" w:rsidRPr="00640D01" w:rsidRDefault="00BA0F0C" w:rsidP="00BA0F0C">
      <w:pPr>
        <w:pStyle w:val="Heading3"/>
      </w:pPr>
      <w:bookmarkStart w:id="14" w:name="_Toc190242677"/>
      <w:r w:rsidRPr="00640D01">
        <w:lastRenderedPageBreak/>
        <w:t>Nonattainment Area</w:t>
      </w:r>
      <w:bookmarkEnd w:id="14"/>
    </w:p>
    <w:p w14:paraId="634237F2" w14:textId="21926583" w:rsidR="00811878" w:rsidRPr="00640D01" w:rsidRDefault="00DC01A2" w:rsidP="00446FEB">
      <w:pPr>
        <w:pStyle w:val="BodyText"/>
      </w:pPr>
      <w:r w:rsidRPr="00640D01">
        <w:fldChar w:fldCharType="begin"/>
      </w:r>
      <w:r w:rsidRPr="00640D01">
        <w:instrText xml:space="preserve"> REF _Ref151989344 \h </w:instrText>
      </w:r>
      <w:r w:rsidRPr="00640D01">
        <w:fldChar w:fldCharType="separate"/>
      </w:r>
      <w:r w:rsidR="00514311" w:rsidRPr="00640D01">
        <w:t xml:space="preserve">Figure </w:t>
      </w:r>
      <w:r w:rsidR="00514311">
        <w:rPr>
          <w:noProof/>
        </w:rPr>
        <w:t>1</w:t>
      </w:r>
      <w:r w:rsidR="00514311">
        <w:noBreakHyphen/>
      </w:r>
      <w:r w:rsidR="00514311">
        <w:rPr>
          <w:noProof/>
        </w:rPr>
        <w:t>1</w:t>
      </w:r>
      <w:r w:rsidRPr="00640D01">
        <w:fldChar w:fldCharType="end"/>
      </w:r>
      <w:r w:rsidRPr="00640D01">
        <w:t xml:space="preserve"> shows </w:t>
      </w:r>
      <w:r w:rsidR="00B82961" w:rsidRPr="00640D01">
        <w:t xml:space="preserve">the </w:t>
      </w:r>
      <w:sdt>
        <w:sdtPr>
          <w:alias w:val="Select MPO"/>
          <w:tag w:val="Select MPO"/>
          <w:id w:val="-542061012"/>
          <w:placeholder>
            <w:docPart w:val="4C37984B4E5D435699561F0D857BBE28"/>
          </w:placeholder>
          <w:showingPlcHdr/>
          <w:dropDownList>
            <w:listItem w:value="Choose an item."/>
            <w:listItem w:displayText="AAMPO" w:value="AAMPO"/>
            <w:listItem w:displayText="El Paso MPO" w:value="El Paso MPO"/>
            <w:listItem w:displayText="H-GAC" w:value="H-GAC"/>
            <w:listItem w:displayText="NCTCOG" w:value="NCTCOG"/>
            <w:listItem w:displayText="SETRPC" w:value="SETRPC"/>
          </w:dropDownList>
        </w:sdtPr>
        <w:sdtContent>
          <w:r w:rsidR="00B82961" w:rsidRPr="00640D01">
            <w:rPr>
              <w:rStyle w:val="Style2"/>
            </w:rPr>
            <w:t>[</w:t>
          </w:r>
          <w:r w:rsidR="00B82961" w:rsidRPr="00640D01">
            <w:rPr>
              <w:b/>
              <w:bCs/>
              <w:color w:val="C00000"/>
            </w:rPr>
            <w:t>MPO Name]</w:t>
          </w:r>
        </w:sdtContent>
      </w:sdt>
      <w:r w:rsidR="00A234D3" w:rsidRPr="00640D01">
        <w:t xml:space="preserve"> </w:t>
      </w:r>
      <w:r w:rsidRPr="00640D01">
        <w:t xml:space="preserve">boundary </w:t>
      </w:r>
      <w:r w:rsidR="00811878" w:rsidRPr="00640D01">
        <w:t xml:space="preserve">map </w:t>
      </w:r>
      <w:r w:rsidRPr="00640D01">
        <w:t xml:space="preserve">along </w:t>
      </w:r>
      <w:r w:rsidR="00811878" w:rsidRPr="00640D01">
        <w:t>with</w:t>
      </w:r>
      <w:r w:rsidRPr="00640D01">
        <w:t xml:space="preserve"> boundaries for the </w:t>
      </w:r>
      <w:r w:rsidR="00BE1493" w:rsidRPr="00640D01">
        <w:rPr>
          <w:b/>
          <w:bCs/>
          <w:color w:val="7030A0"/>
        </w:rPr>
        <w:t>[</w:t>
      </w:r>
      <w:r w:rsidR="00E4019A" w:rsidRPr="00640D01">
        <w:rPr>
          <w:b/>
          <w:bCs/>
          <w:color w:val="7030A0"/>
        </w:rPr>
        <w:t xml:space="preserve">name </w:t>
      </w:r>
      <w:r w:rsidR="00BE1493" w:rsidRPr="00640D01">
        <w:rPr>
          <w:b/>
          <w:bCs/>
          <w:color w:val="7030A0"/>
        </w:rPr>
        <w:t xml:space="preserve">of NAAQS </w:t>
      </w:r>
      <w:r w:rsidR="00E4019A" w:rsidRPr="00176A31">
        <w:rPr>
          <w:color w:val="7030A0"/>
        </w:rPr>
        <w:t>(</w:t>
      </w:r>
      <w:r w:rsidR="00444D16" w:rsidRPr="00640D01">
        <w:rPr>
          <w:color w:val="7030A0"/>
        </w:rPr>
        <w:t>e</w:t>
      </w:r>
      <w:r w:rsidR="00BE1493" w:rsidRPr="00640D01">
        <w:rPr>
          <w:color w:val="7030A0"/>
        </w:rPr>
        <w:t xml:space="preserve">.g., 2015 </w:t>
      </w:r>
      <w:r w:rsidR="00E4019A" w:rsidRPr="00640D01">
        <w:rPr>
          <w:color w:val="7030A0"/>
        </w:rPr>
        <w:t xml:space="preserve">ozone </w:t>
      </w:r>
      <w:r w:rsidR="00BE1493" w:rsidRPr="00640D01">
        <w:rPr>
          <w:color w:val="7030A0"/>
        </w:rPr>
        <w:t>NAAQS, etc.</w:t>
      </w:r>
      <w:r w:rsidR="00E4019A" w:rsidRPr="00640D01">
        <w:rPr>
          <w:color w:val="7030A0"/>
        </w:rPr>
        <w:t>)</w:t>
      </w:r>
      <w:r w:rsidR="00BE1493" w:rsidRPr="00640D01">
        <w:rPr>
          <w:b/>
          <w:bCs/>
          <w:color w:val="7030A0"/>
        </w:rPr>
        <w:t>].</w:t>
      </w:r>
    </w:p>
    <w:p w14:paraId="2B424A27" w14:textId="77777777" w:rsidR="00F276A4" w:rsidRPr="00640D01" w:rsidRDefault="00126250" w:rsidP="00446FEB">
      <w:pPr>
        <w:pStyle w:val="Figure"/>
      </w:pPr>
      <w:r w:rsidRPr="00640D01">
        <w:rPr>
          <w:noProof/>
        </w:rPr>
        <mc:AlternateContent>
          <mc:Choice Requires="wps">
            <w:drawing>
              <wp:anchor distT="0" distB="0" distL="114300" distR="114300" simplePos="0" relativeHeight="251657216" behindDoc="0" locked="0" layoutInCell="1" allowOverlap="1" wp14:anchorId="07AAC265" wp14:editId="25152205">
                <wp:simplePos x="0" y="0"/>
                <wp:positionH relativeFrom="column">
                  <wp:posOffset>929640</wp:posOffset>
                </wp:positionH>
                <wp:positionV relativeFrom="paragraph">
                  <wp:posOffset>1224280</wp:posOffset>
                </wp:positionV>
                <wp:extent cx="4015740" cy="838200"/>
                <wp:effectExtent l="0" t="857250" r="0" b="876300"/>
                <wp:wrapNone/>
                <wp:docPr id="1312613818" name="Text Box 1"/>
                <wp:cNvGraphicFramePr/>
                <a:graphic xmlns:a="http://schemas.openxmlformats.org/drawingml/2006/main">
                  <a:graphicData uri="http://schemas.microsoft.com/office/word/2010/wordprocessingShape">
                    <wps:wsp>
                      <wps:cNvSpPr txBox="1"/>
                      <wps:spPr>
                        <a:xfrm rot="19885902">
                          <a:off x="0" y="0"/>
                          <a:ext cx="4015740" cy="838200"/>
                        </a:xfrm>
                        <a:prstGeom prst="rect">
                          <a:avLst/>
                        </a:prstGeom>
                        <a:noFill/>
                        <a:ln w="6350">
                          <a:noFill/>
                        </a:ln>
                      </wps:spPr>
                      <wps:txbx>
                        <w:txbxContent>
                          <w:p w14:paraId="3FB791EF" w14:textId="5BE5C083" w:rsidR="00126250" w:rsidRPr="00126250" w:rsidRDefault="00126250" w:rsidP="00126250">
                            <w:pPr>
                              <w:jc w:val="center"/>
                              <w:rPr>
                                <w:color w:val="C0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6250">
                              <w:rPr>
                                <w:color w:val="C0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AAC265" id="_x0000_t202" coordsize="21600,21600" o:spt="202" path="m,l,21600r21600,l21600,xe">
                <v:stroke joinstyle="miter"/>
                <v:path gradientshapeok="t" o:connecttype="rect"/>
              </v:shapetype>
              <v:shape id="Text Box 1" o:spid="_x0000_s1026" type="#_x0000_t202" style="position:absolute;left:0;text-align:left;margin-left:73.2pt;margin-top:96.4pt;width:316.2pt;height:66pt;rotation:-1872252fd;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" filled="f" stroked="f" strokeweight=".5pt">
                <v:textbox>
                  <w:txbxContent>
                    <w:p w14:paraId="3FB791EF" w14:textId="5BE5C083" w:rsidR="00126250" w:rsidRPr="00126250" w:rsidRDefault="00126250" w:rsidP="00126250">
                      <w:pPr>
                        <w:jc w:val="center"/>
                        <w:rPr>
                          <w:color w:val="C0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6250">
                        <w:rPr>
                          <w:color w:val="C0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xbxContent>
                </v:textbox>
              </v:shape>
            </w:pict>
          </mc:Fallback>
        </mc:AlternateContent>
      </w:r>
      <w:r w:rsidR="002E50C3" w:rsidRPr="00640D01">
        <w:rPr>
          <w:noProof/>
        </w:rPr>
        <w:drawing>
          <wp:inline distT="0" distB="0" distL="0" distR="0" wp14:anchorId="4DAB30EC" wp14:editId="44D1EAFB">
            <wp:extent cx="3796667" cy="2767965"/>
            <wp:effectExtent l="0" t="0" r="0" b="0"/>
            <wp:docPr id="321986320" name="Picture 1" descr="Sample Map of nonattainmen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86320" name="Picture 1" descr="Sample Map of nonattainment area."/>
                    <pic:cNvPicPr/>
                  </pic:nvPicPr>
                  <pic:blipFill rotWithShape="1">
                    <a:blip r:embed="rId11"/>
                    <a:srcRect l="961" t="7446" r="3314" b="2277"/>
                    <a:stretch/>
                  </pic:blipFill>
                  <pic:spPr bwMode="auto">
                    <a:xfrm>
                      <a:off x="0" y="0"/>
                      <a:ext cx="3804208" cy="2773463"/>
                    </a:xfrm>
                    <a:prstGeom prst="rect">
                      <a:avLst/>
                    </a:prstGeom>
                    <a:ln>
                      <a:noFill/>
                    </a:ln>
                    <a:extLst>
                      <a:ext uri="{53640926-AAD7-44D8-BBD7-CCE9431645EC}">
                        <a14:shadowObscured xmlns:a14="http://schemas.microsoft.com/office/drawing/2010/main"/>
                      </a:ext>
                    </a:extLst>
                  </pic:spPr>
                </pic:pic>
              </a:graphicData>
            </a:graphic>
          </wp:inline>
        </w:drawing>
      </w:r>
    </w:p>
    <w:p w14:paraId="2C2B67BC" w14:textId="74EEEEDB" w:rsidR="002E50C3" w:rsidRPr="00640D01" w:rsidRDefault="00B9671A" w:rsidP="00446FEB">
      <w:pPr>
        <w:pStyle w:val="Caption"/>
      </w:pPr>
      <w:bookmarkStart w:id="15" w:name="_Ref151989344"/>
      <w:bookmarkStart w:id="16" w:name="_Toc190183135"/>
      <w:r w:rsidRPr="00640D01">
        <w:t xml:space="preserve">Figure </w:t>
      </w:r>
      <w:r w:rsidR="00514311">
        <w:fldChar w:fldCharType="begin"/>
      </w:r>
      <w:r w:rsidR="00514311">
        <w:instrText xml:space="preserve"> STYLEREF 1 \s </w:instrText>
      </w:r>
      <w:r w:rsidR="00514311">
        <w:fldChar w:fldCharType="separate"/>
      </w:r>
      <w:r w:rsidR="00514311">
        <w:rPr>
          <w:noProof/>
        </w:rPr>
        <w:t>1</w:t>
      </w:r>
      <w:r w:rsidR="00514311">
        <w:fldChar w:fldCharType="end"/>
      </w:r>
      <w:r w:rsidR="00514311">
        <w:noBreakHyphen/>
      </w:r>
      <w:r w:rsidR="00514311">
        <w:fldChar w:fldCharType="begin"/>
      </w:r>
      <w:r w:rsidR="00514311">
        <w:instrText xml:space="preserve"> SEQ Figure \* ARABIC \s 1 </w:instrText>
      </w:r>
      <w:r w:rsidR="00514311">
        <w:fldChar w:fldCharType="separate"/>
      </w:r>
      <w:r w:rsidR="00514311">
        <w:rPr>
          <w:noProof/>
        </w:rPr>
        <w:t>1</w:t>
      </w:r>
      <w:r w:rsidR="00514311">
        <w:fldChar w:fldCharType="end"/>
      </w:r>
      <w:bookmarkEnd w:id="15"/>
      <w:r w:rsidRPr="00640D01">
        <w:t xml:space="preserve">. </w:t>
      </w:r>
      <w:r w:rsidR="00B82961" w:rsidRPr="00640D01">
        <w:rPr>
          <w:b w:val="0"/>
          <w:bCs/>
          <w:color w:val="C00000"/>
        </w:rPr>
        <w:fldChar w:fldCharType="begin"/>
      </w:r>
      <w:r w:rsidR="00B82961" w:rsidRPr="00640D01">
        <w:instrText xml:space="preserve"> REF RegionName \h </w:instrText>
      </w:r>
      <w:r w:rsidR="00E4019A" w:rsidRPr="00640D01">
        <w:rPr>
          <w:b w:val="0"/>
          <w:bCs/>
          <w:color w:val="C00000"/>
        </w:rPr>
        <w:instrText xml:space="preserve"> \* MERGEFORMAT </w:instrText>
      </w:r>
      <w:r w:rsidR="00B82961" w:rsidRPr="00640D01">
        <w:rPr>
          <w:b w:val="0"/>
          <w:bCs/>
          <w:color w:val="C00000"/>
        </w:rPr>
      </w:r>
      <w:r w:rsidR="00B82961" w:rsidRPr="00640D01">
        <w:rPr>
          <w:b w:val="0"/>
          <w:bCs/>
          <w:color w:val="C00000"/>
        </w:rPr>
        <w:fldChar w:fldCharType="separate"/>
      </w:r>
      <w:sdt>
        <w:sdtPr>
          <w:rPr>
            <w:color w:val="C00000"/>
          </w:rPr>
          <w:alias w:val="Region Name"/>
          <w:tag w:val="Region Name"/>
          <w:id w:val="-1487464038"/>
          <w:placeholder>
            <w:docPart w:val="B8AA96661D89452C87DA1B2C2350AE2B"/>
          </w:placeholder>
          <w:dropDownList>
            <w:listItem w:displayText="[Region name]" w:value="[Region name]"/>
            <w:listItem w:displayText="Beaumont-Port Arthur" w:value="Beaumont-Port Arthur"/>
            <w:listItem w:displayText="Dallas-Fort Worth" w:value="Dallas-Fort Worth"/>
            <w:listItem w:displayText="El Paso" w:value="El Paso"/>
            <w:listItem w:displayText="Houston-Galveston-Brazoria" w:value="Houston-Galveston-Brazoria"/>
            <w:listItem w:displayText="San Antonio" w:value="San Antonio"/>
          </w:dropDownList>
        </w:sdtPr>
        <w:sdtContent>
          <w:r w:rsidR="00514311" w:rsidRPr="00514311">
            <w:rPr>
              <w:color w:val="C00000"/>
            </w:rPr>
            <w:t>[Region name]</w:t>
          </w:r>
        </w:sdtContent>
      </w:sdt>
      <w:r w:rsidR="00B82961" w:rsidRPr="00640D01">
        <w:rPr>
          <w:b w:val="0"/>
          <w:bCs/>
          <w:color w:val="C00000"/>
        </w:rPr>
        <w:fldChar w:fldCharType="end"/>
      </w:r>
      <w:r w:rsidR="00BB1639" w:rsidRPr="00640D01">
        <w:t>Nonattainment and Maintenance Boundaries</w:t>
      </w:r>
      <w:bookmarkEnd w:id="16"/>
    </w:p>
    <w:p w14:paraId="40E131FE" w14:textId="4238EE26" w:rsidR="00DE2F9C" w:rsidRPr="00176A31" w:rsidRDefault="00DE2F9C" w:rsidP="00176A31">
      <w:pPr>
        <w:pStyle w:val="BodyText"/>
        <w:rPr>
          <w:color w:val="7030A0"/>
        </w:rPr>
      </w:pPr>
      <w:r w:rsidRPr="00176A31">
        <w:rPr>
          <w:b/>
          <w:bCs/>
          <w:color w:val="7030A0"/>
        </w:rPr>
        <w:t>For the 2015 8-hour ozone standard designations:</w:t>
      </w:r>
      <w:r w:rsidRPr="00176A31">
        <w:rPr>
          <w:color w:val="7030A0"/>
        </w:rPr>
        <w:t xml:space="preserve"> </w:t>
      </w:r>
      <w:r w:rsidR="00444D16" w:rsidRPr="00640D01">
        <w:rPr>
          <w:color w:val="7030A0"/>
        </w:rPr>
        <w:t>E</w:t>
      </w:r>
      <w:r w:rsidRPr="00176A31">
        <w:rPr>
          <w:color w:val="7030A0"/>
        </w:rPr>
        <w:t xml:space="preserve">ffective August 3, 2018, the nine-county </w:t>
      </w:r>
      <w:r w:rsidR="00444D16" w:rsidRPr="00640D01">
        <w:rPr>
          <w:color w:val="7030A0"/>
        </w:rPr>
        <w:t>Dallas-Fort Worth (</w:t>
      </w:r>
      <w:r w:rsidRPr="00176A31">
        <w:rPr>
          <w:color w:val="7030A0"/>
        </w:rPr>
        <w:t>DFW</w:t>
      </w:r>
      <w:r w:rsidR="00444D16" w:rsidRPr="00640D01">
        <w:rPr>
          <w:color w:val="7030A0"/>
        </w:rPr>
        <w:t>)</w:t>
      </w:r>
      <w:r w:rsidRPr="00176A31">
        <w:rPr>
          <w:color w:val="7030A0"/>
        </w:rPr>
        <w:t xml:space="preserve"> area, encompassing Collin, Dallas, Denton, Ellis, Johnson, Kaufman, Parker, Tarrant, and Wise</w:t>
      </w:r>
      <w:r w:rsidR="00444D16" w:rsidRPr="00640D01">
        <w:rPr>
          <w:color w:val="7030A0"/>
        </w:rPr>
        <w:t xml:space="preserve"> Counties</w:t>
      </w:r>
      <w:r w:rsidRPr="00176A31">
        <w:rPr>
          <w:color w:val="7030A0"/>
        </w:rPr>
        <w:t>, received a classification as marginal nonattainment for the 2015 8-</w:t>
      </w:r>
      <w:r w:rsidR="00444D16" w:rsidRPr="00640D01">
        <w:rPr>
          <w:color w:val="7030A0"/>
        </w:rPr>
        <w:t>h</w:t>
      </w:r>
      <w:r w:rsidR="00444D16" w:rsidRPr="00176A31">
        <w:rPr>
          <w:color w:val="7030A0"/>
        </w:rPr>
        <w:t xml:space="preserve">our </w:t>
      </w:r>
      <w:r w:rsidR="00444D16" w:rsidRPr="00640D01">
        <w:rPr>
          <w:color w:val="7030A0"/>
        </w:rPr>
        <w:t>o</w:t>
      </w:r>
      <w:r w:rsidR="00444D16" w:rsidRPr="00176A31">
        <w:rPr>
          <w:color w:val="7030A0"/>
        </w:rPr>
        <w:t xml:space="preserve">zone </w:t>
      </w:r>
      <w:r w:rsidRPr="00176A31">
        <w:rPr>
          <w:color w:val="7030A0"/>
        </w:rPr>
        <w:t>NAAQS. The DFW marginal nonattainment area had an attainment date set for August 3, 2021, referencing the 2020 attainment year. However, on October 7, 2022, EPA reclassified the nine-county DFW area from marginal to moderate nonattainment. The new attainment date for moderate nonattainment areas is now August 3, 2024, with a 2023 attainment year</w:t>
      </w:r>
      <w:r w:rsidR="00444D16" w:rsidRPr="00640D01">
        <w:rPr>
          <w:color w:val="7030A0"/>
        </w:rPr>
        <w:t>.</w:t>
      </w:r>
      <w:r w:rsidRPr="00176A31">
        <w:rPr>
          <w:rStyle w:val="FootnoteReference"/>
          <w:color w:val="7030A0"/>
        </w:rPr>
        <w:footnoteReference w:id="3"/>
      </w:r>
      <w:r w:rsidRPr="00176A31">
        <w:rPr>
          <w:color w:val="7030A0"/>
        </w:rPr>
        <w:t xml:space="preserve"> </w:t>
      </w:r>
    </w:p>
    <w:p w14:paraId="1A47A9B4" w14:textId="0DCC1058" w:rsidR="00DE2F9C" w:rsidRPr="00176A31" w:rsidRDefault="00DE2F9C" w:rsidP="00176A31">
      <w:pPr>
        <w:pStyle w:val="BodyText"/>
        <w:rPr>
          <w:color w:val="7030A0"/>
        </w:rPr>
      </w:pPr>
      <w:r w:rsidRPr="00176A31">
        <w:rPr>
          <w:b/>
          <w:bCs/>
          <w:color w:val="7030A0"/>
        </w:rPr>
        <w:t>For the 2008 8-hour ozone standard designations:</w:t>
      </w:r>
      <w:r w:rsidRPr="00176A31">
        <w:rPr>
          <w:color w:val="7030A0"/>
        </w:rPr>
        <w:t xml:space="preserve"> </w:t>
      </w:r>
      <w:r w:rsidR="00444D16" w:rsidRPr="00640D01">
        <w:rPr>
          <w:color w:val="7030A0"/>
        </w:rPr>
        <w:t>E</w:t>
      </w:r>
      <w:r w:rsidRPr="00176A31">
        <w:rPr>
          <w:color w:val="7030A0"/>
        </w:rPr>
        <w:t xml:space="preserve">ffective July 20, 2012, the </w:t>
      </w:r>
      <w:r w:rsidR="00444D16" w:rsidRPr="00640D01">
        <w:rPr>
          <w:color w:val="7030A0"/>
        </w:rPr>
        <w:t>10</w:t>
      </w:r>
      <w:r w:rsidRPr="00176A31">
        <w:rPr>
          <w:color w:val="7030A0"/>
        </w:rPr>
        <w:t xml:space="preserve">-county DFW area, encompassing Collin, Dallas, Denton, Ellis, Johnson, Kaufman, Parker, Rockwall, Tarrant, and Wise Counties, was designated as nonattainment and classified as moderate under the 2008 </w:t>
      </w:r>
      <w:r w:rsidR="00444D16" w:rsidRPr="00640D01">
        <w:rPr>
          <w:color w:val="7030A0"/>
        </w:rPr>
        <w:t>8</w:t>
      </w:r>
      <w:r w:rsidRPr="00176A31">
        <w:rPr>
          <w:color w:val="7030A0"/>
        </w:rPr>
        <w:t>-hour ozone NAAQS. Subsequently, on August 23, 2019, EPA elevated the classification of the 10-county DFW area from moderate to serious nonattainment. The attainment date for serious nonattainment areas was set for July 20, 2021, referencing the 2020 attainment year. More recently, on October 7, 2022, EPA further reclassified the 10-county DFW area from serious to severe nonattainment, extending the attainment date for severe nonattainment areas to July 20, 2027, with a 2026 attainment year.</w:t>
      </w:r>
      <w:r w:rsidRPr="00176A31">
        <w:rPr>
          <w:rStyle w:val="FootnoteReference"/>
          <w:color w:val="7030A0"/>
        </w:rPr>
        <w:footnoteReference w:id="4"/>
      </w:r>
    </w:p>
    <w:p w14:paraId="5207A9A0" w14:textId="689BC07B" w:rsidR="00173E71" w:rsidRPr="00640D01" w:rsidRDefault="00AE46C6" w:rsidP="00173E71">
      <w:pPr>
        <w:pStyle w:val="Heading2"/>
      </w:pPr>
      <w:bookmarkStart w:id="17" w:name="_Toc190242678"/>
      <w:r w:rsidRPr="00640D01">
        <w:lastRenderedPageBreak/>
        <w:t>RTP/</w:t>
      </w:r>
      <w:r w:rsidR="00173E71" w:rsidRPr="00640D01">
        <w:t>MTP</w:t>
      </w:r>
      <w:r w:rsidR="008753A7" w:rsidRPr="00640D01">
        <w:t xml:space="preserve"> and </w:t>
      </w:r>
      <w:r w:rsidR="00173E71" w:rsidRPr="00640D01">
        <w:t>TIP</w:t>
      </w:r>
      <w:bookmarkEnd w:id="17"/>
    </w:p>
    <w:p w14:paraId="0B033512" w14:textId="4B5CE059" w:rsidR="00173E71" w:rsidRPr="00640D01" w:rsidRDefault="00173E71" w:rsidP="00446FEB">
      <w:pPr>
        <w:pStyle w:val="BodyText"/>
      </w:pPr>
      <w:r w:rsidRPr="00640D01">
        <w:t>This conformity determination is being prepared to ensure that the</w:t>
      </w:r>
      <w:r w:rsidR="00793C0B" w:rsidRPr="00640D01">
        <w:t xml:space="preserve"> </w:t>
      </w:r>
      <w:r w:rsidR="00D231FC" w:rsidRPr="00640D01">
        <w:rPr>
          <w:color w:val="7030A0"/>
        </w:rPr>
        <w:fldChar w:fldCharType="begin"/>
      </w:r>
      <w:r w:rsidR="00D231FC" w:rsidRPr="00640D01">
        <w:instrText xml:space="preserve"> REF MTPRTP \h </w:instrText>
      </w:r>
      <w:r w:rsidR="00D231FC" w:rsidRPr="00640D01">
        <w:rPr>
          <w:color w:val="7030A0"/>
        </w:rPr>
      </w:r>
      <w:r w:rsidR="00D231FC" w:rsidRPr="00640D01">
        <w:rPr>
          <w:color w:val="7030A0"/>
        </w:rPr>
        <w:fldChar w:fldCharType="separate"/>
      </w:r>
      <w:r w:rsidR="00514311" w:rsidRPr="00640D01">
        <w:rPr>
          <w:b/>
          <w:bCs/>
          <w:color w:val="C00000"/>
        </w:rPr>
        <w:t>[Name of RTP/MTP]</w:t>
      </w:r>
      <w:r w:rsidR="00D231FC" w:rsidRPr="00640D01">
        <w:rPr>
          <w:color w:val="7030A0"/>
        </w:rPr>
        <w:fldChar w:fldCharType="end"/>
      </w:r>
      <w:r w:rsidR="0062091B" w:rsidRPr="00640D01">
        <w:rPr>
          <w:color w:val="7030A0"/>
        </w:rPr>
        <w:t xml:space="preserve"> </w:t>
      </w:r>
      <w:r w:rsidR="00793C0B" w:rsidRPr="00640D01">
        <w:t xml:space="preserve">and </w:t>
      </w:r>
      <w:r w:rsidR="00D231FC" w:rsidRPr="00640D01">
        <w:fldChar w:fldCharType="begin"/>
      </w:r>
      <w:r w:rsidR="00D231FC" w:rsidRPr="00640D01">
        <w:instrText xml:space="preserve"> REF TIPName \h </w:instrText>
      </w:r>
      <w:r w:rsidR="00D231FC" w:rsidRPr="00640D01">
        <w:fldChar w:fldCharType="separate"/>
      </w:r>
      <w:r w:rsidR="00514311" w:rsidRPr="00640D01">
        <w:rPr>
          <w:b/>
          <w:bCs/>
          <w:color w:val="C00000"/>
        </w:rPr>
        <w:t>[Name of TIP]</w:t>
      </w:r>
      <w:r w:rsidR="00D231FC" w:rsidRPr="00640D01">
        <w:fldChar w:fldCharType="end"/>
      </w:r>
      <w:r w:rsidR="0062091B" w:rsidRPr="00640D01">
        <w:t xml:space="preserve"> </w:t>
      </w:r>
      <w:r w:rsidRPr="00640D01">
        <w:t xml:space="preserve">meet the conformity-related requirements of the CAAA, SIP, and final conformity rule (Title 40 </w:t>
      </w:r>
      <w:r w:rsidR="0062091B" w:rsidRPr="00640D01">
        <w:t xml:space="preserve">of the </w:t>
      </w:r>
      <w:r w:rsidRPr="00640D01">
        <w:t>Code of Federal Regulations</w:t>
      </w:r>
      <w:r w:rsidR="00046926" w:rsidRPr="00640D01">
        <w:t xml:space="preserve"> </w:t>
      </w:r>
      <w:r w:rsidR="00444D16" w:rsidRPr="00640D01">
        <w:t>[</w:t>
      </w:r>
      <w:r w:rsidR="00046926" w:rsidRPr="00640D01">
        <w:t>CFR</w:t>
      </w:r>
      <w:r w:rsidR="00444D16" w:rsidRPr="00640D01">
        <w:t xml:space="preserve">], </w:t>
      </w:r>
      <w:r w:rsidRPr="00640D01">
        <w:t>Parts 51 and 93).</w:t>
      </w:r>
    </w:p>
    <w:p w14:paraId="1517B421" w14:textId="6E131EF4" w:rsidR="00173E71" w:rsidRPr="00640D01" w:rsidRDefault="00684C90" w:rsidP="00446FEB">
      <w:pPr>
        <w:pStyle w:val="BodyText"/>
      </w:pPr>
      <w:r w:rsidRPr="00640D01">
        <w:t>Per</w:t>
      </w:r>
      <w:r w:rsidR="00173E71" w:rsidRPr="00640D01">
        <w:t xml:space="preserve"> 23 CFR</w:t>
      </w:r>
      <w:r w:rsidR="00444D16" w:rsidRPr="00640D01">
        <w:t xml:space="preserve"> </w:t>
      </w:r>
      <w:r w:rsidR="00173E71" w:rsidRPr="00640D01">
        <w:t>450.324</w:t>
      </w:r>
      <w:r w:rsidR="00465DD8" w:rsidRPr="00640D01">
        <w:t>,</w:t>
      </w:r>
      <w:r w:rsidR="00173E71" w:rsidRPr="00640D01">
        <w:t xml:space="preserve"> all projects are constrained by the financial resources estimated to be reasonably available within the </w:t>
      </w:r>
      <w:r w:rsidR="00BD02EF" w:rsidRPr="00640D01">
        <w:t>transportation plan</w:t>
      </w:r>
      <w:r w:rsidR="00173E71" w:rsidRPr="00640D01">
        <w:t xml:space="preserve"> time</w:t>
      </w:r>
      <w:r w:rsidR="00827C7C" w:rsidRPr="00640D01">
        <w:t xml:space="preserve"> </w:t>
      </w:r>
      <w:r w:rsidR="00173E71" w:rsidRPr="00640D01">
        <w:t xml:space="preserve">frame. A list of the projects in </w:t>
      </w:r>
      <w:r w:rsidR="006D7D57" w:rsidRPr="00640D01">
        <w:t xml:space="preserve">the </w:t>
      </w:r>
      <w:r w:rsidR="00D231FC" w:rsidRPr="00640D01">
        <w:rPr>
          <w:color w:val="7030A0"/>
        </w:rPr>
        <w:fldChar w:fldCharType="begin"/>
      </w:r>
      <w:r w:rsidR="00D231FC" w:rsidRPr="00640D01">
        <w:instrText xml:space="preserve"> REF MTPRTP \h </w:instrText>
      </w:r>
      <w:r w:rsidR="00D231FC" w:rsidRPr="00640D01">
        <w:rPr>
          <w:color w:val="7030A0"/>
        </w:rPr>
      </w:r>
      <w:r w:rsidR="00D231FC" w:rsidRPr="00640D01">
        <w:rPr>
          <w:color w:val="7030A0"/>
        </w:rPr>
        <w:fldChar w:fldCharType="separate"/>
      </w:r>
      <w:r w:rsidR="00514311" w:rsidRPr="00640D01">
        <w:rPr>
          <w:b/>
          <w:bCs/>
          <w:color w:val="C00000"/>
        </w:rPr>
        <w:t>[Name of RTP/MTP]</w:t>
      </w:r>
      <w:r w:rsidR="00D231FC" w:rsidRPr="00640D01">
        <w:rPr>
          <w:color w:val="7030A0"/>
        </w:rPr>
        <w:fldChar w:fldCharType="end"/>
      </w:r>
      <w:r w:rsidR="0062091B" w:rsidRPr="00640D01">
        <w:rPr>
          <w:color w:val="7030A0"/>
        </w:rPr>
        <w:t xml:space="preserve"> </w:t>
      </w:r>
      <w:r w:rsidR="00D231FC" w:rsidRPr="00640D01">
        <w:t xml:space="preserve">and </w:t>
      </w:r>
      <w:r w:rsidR="00D231FC" w:rsidRPr="00640D01">
        <w:fldChar w:fldCharType="begin"/>
      </w:r>
      <w:r w:rsidR="00D231FC" w:rsidRPr="00640D01">
        <w:instrText xml:space="preserve"> REF TIPName \h </w:instrText>
      </w:r>
      <w:r w:rsidR="00D231FC" w:rsidRPr="00640D01">
        <w:fldChar w:fldCharType="separate"/>
      </w:r>
      <w:r w:rsidR="00514311" w:rsidRPr="00640D01">
        <w:rPr>
          <w:b/>
          <w:bCs/>
          <w:color w:val="C00000"/>
        </w:rPr>
        <w:t>[Name of TIP]</w:t>
      </w:r>
      <w:r w:rsidR="00D231FC" w:rsidRPr="00640D01">
        <w:fldChar w:fldCharType="end"/>
      </w:r>
      <w:r w:rsidR="0062091B" w:rsidRPr="00640D01">
        <w:t xml:space="preserve"> </w:t>
      </w:r>
      <w:r w:rsidR="00173E71" w:rsidRPr="00640D01">
        <w:t xml:space="preserve">that affect this conformity analysis is included in </w:t>
      </w:r>
      <w:r w:rsidR="00D1751B" w:rsidRPr="00176A31">
        <w:fldChar w:fldCharType="begin"/>
      </w:r>
      <w:r w:rsidR="00D1751B" w:rsidRPr="00176A31">
        <w:instrText xml:space="preserve"> REF _Ref159507005 \h  \* MERGEFORMAT </w:instrText>
      </w:r>
      <w:r w:rsidR="00D1751B" w:rsidRPr="00176A31">
        <w:fldChar w:fldCharType="separate"/>
      </w:r>
      <w:r w:rsidR="00514311" w:rsidRPr="00640D01">
        <w:t>Appendix B—RTP/MTP</w:t>
      </w:r>
      <w:r w:rsidR="00D1751B" w:rsidRPr="00176A31">
        <w:fldChar w:fldCharType="end"/>
      </w:r>
      <w:r w:rsidR="00D1751B" w:rsidRPr="00640D01">
        <w:t xml:space="preserve"> </w:t>
      </w:r>
      <w:r w:rsidR="00173E71" w:rsidRPr="00640D01">
        <w:t>of this conformity report.</w:t>
      </w:r>
    </w:p>
    <w:p w14:paraId="2D1ED491" w14:textId="670AEC04" w:rsidR="00B012D5" w:rsidRPr="00640D01" w:rsidRDefault="000329F5" w:rsidP="00B012D5">
      <w:pPr>
        <w:pStyle w:val="Heading2"/>
      </w:pPr>
      <w:bookmarkStart w:id="18" w:name="_Toc190242679"/>
      <w:r w:rsidRPr="00640D01">
        <w:t>Analysis</w:t>
      </w:r>
      <w:bookmarkEnd w:id="18"/>
    </w:p>
    <w:p w14:paraId="69300A86" w14:textId="02A17AEE" w:rsidR="00283F5D" w:rsidRPr="00640D01" w:rsidRDefault="009C2AC8" w:rsidP="00446FEB">
      <w:pPr>
        <w:pStyle w:val="BodyText"/>
      </w:pPr>
      <w:r w:rsidRPr="00640D01">
        <w:t xml:space="preserve">This emissions analysis for determining conformity was performed under </w:t>
      </w:r>
      <w:r w:rsidR="00827C7C" w:rsidRPr="00640D01">
        <w:t xml:space="preserve">40 CFR </w:t>
      </w:r>
      <w:r w:rsidRPr="00640D01">
        <w:t>93.109(c)(2)(ii)(B)</w:t>
      </w:r>
      <w:r w:rsidR="00B23102" w:rsidRPr="00640D01">
        <w:t>:</w:t>
      </w:r>
    </w:p>
    <w:p w14:paraId="44DC3C61" w14:textId="356F36C0" w:rsidR="00130347" w:rsidRPr="00176A31" w:rsidRDefault="007B32B2" w:rsidP="00176A31">
      <w:pPr>
        <w:pStyle w:val="Quote"/>
        <w:rPr>
          <w:color w:val="7030A0"/>
        </w:rPr>
      </w:pPr>
      <w:r w:rsidRPr="00176A31">
        <w:rPr>
          <w:b/>
          <w:bCs/>
          <w:color w:val="7030A0"/>
        </w:rPr>
        <w:t>The analysis years for this conformity are</w:t>
      </w:r>
      <w:r w:rsidR="00F71458" w:rsidRPr="00176A31">
        <w:rPr>
          <w:color w:val="7030A0"/>
        </w:rPr>
        <w:t xml:space="preserve"> </w:t>
      </w:r>
      <w:r w:rsidR="00827C7C" w:rsidRPr="00176A31">
        <w:rPr>
          <w:color w:val="7030A0"/>
        </w:rPr>
        <w:t>(e.g.)</w:t>
      </w:r>
      <w:r w:rsidR="00BB1F2F" w:rsidRPr="00176A31">
        <w:rPr>
          <w:color w:val="7030A0"/>
        </w:rPr>
        <w:t xml:space="preserve"> </w:t>
      </w:r>
      <w:r w:rsidRPr="00176A31">
        <w:rPr>
          <w:color w:val="7030A0"/>
        </w:rPr>
        <w:t>2023 (the potential attainment year when the area is reclassified to moderate under the 2015 8-</w:t>
      </w:r>
      <w:r w:rsidR="00827C7C" w:rsidRPr="00640D01">
        <w:rPr>
          <w:color w:val="7030A0"/>
        </w:rPr>
        <w:t>h</w:t>
      </w:r>
      <w:r w:rsidR="00827C7C" w:rsidRPr="00176A31">
        <w:rPr>
          <w:color w:val="7030A0"/>
        </w:rPr>
        <w:t xml:space="preserve">our </w:t>
      </w:r>
      <w:r w:rsidR="00827C7C" w:rsidRPr="00640D01">
        <w:rPr>
          <w:color w:val="7030A0"/>
        </w:rPr>
        <w:t>o</w:t>
      </w:r>
      <w:r w:rsidR="00827C7C" w:rsidRPr="00176A31">
        <w:rPr>
          <w:color w:val="7030A0"/>
        </w:rPr>
        <w:t xml:space="preserve">zone </w:t>
      </w:r>
      <w:r w:rsidRPr="00176A31">
        <w:rPr>
          <w:color w:val="7030A0"/>
        </w:rPr>
        <w:t>NAAQS), 2026 (the potential attainment year when the area is reclassified to severe under the 2008 8-</w:t>
      </w:r>
      <w:r w:rsidR="00827C7C" w:rsidRPr="00640D01">
        <w:rPr>
          <w:color w:val="7030A0"/>
        </w:rPr>
        <w:t>h</w:t>
      </w:r>
      <w:r w:rsidR="00827C7C" w:rsidRPr="00176A31">
        <w:rPr>
          <w:color w:val="7030A0"/>
        </w:rPr>
        <w:t xml:space="preserve">our </w:t>
      </w:r>
      <w:r w:rsidR="00827C7C" w:rsidRPr="00640D01">
        <w:rPr>
          <w:color w:val="7030A0"/>
        </w:rPr>
        <w:t>o</w:t>
      </w:r>
      <w:r w:rsidR="00827C7C" w:rsidRPr="00176A31">
        <w:rPr>
          <w:color w:val="7030A0"/>
        </w:rPr>
        <w:t xml:space="preserve">zone </w:t>
      </w:r>
      <w:r w:rsidRPr="00176A31">
        <w:rPr>
          <w:color w:val="7030A0"/>
        </w:rPr>
        <w:t>NAAQS), 2036, and 2045 (</w:t>
      </w:r>
      <w:r w:rsidR="00B23102" w:rsidRPr="00640D01">
        <w:rPr>
          <w:color w:val="7030A0"/>
        </w:rPr>
        <w:t xml:space="preserve">the </w:t>
      </w:r>
      <w:r w:rsidRPr="00176A31">
        <w:rPr>
          <w:color w:val="7030A0"/>
        </w:rPr>
        <w:t>MTP horizon year)</w:t>
      </w:r>
      <w:r w:rsidR="00827C7C" w:rsidRPr="00176A31">
        <w:rPr>
          <w:color w:val="7030A0"/>
        </w:rPr>
        <w:t>.</w:t>
      </w:r>
    </w:p>
    <w:p w14:paraId="3324D497" w14:textId="7D9BD796" w:rsidR="000A08B2" w:rsidRPr="00640D01" w:rsidRDefault="000A08B2" w:rsidP="00446FEB">
      <w:pPr>
        <w:pStyle w:val="BodyText"/>
      </w:pPr>
      <w:r w:rsidRPr="00640D01">
        <w:t xml:space="preserve">Check </w:t>
      </w:r>
      <w:r w:rsidR="00300EF0" w:rsidRPr="00640D01">
        <w:t xml:space="preserve">only </w:t>
      </w:r>
      <w:r w:rsidRPr="00640D01">
        <w:t>one</w:t>
      </w:r>
      <w:r w:rsidR="00300EF0" w:rsidRPr="00640D01">
        <w:t xml:space="preserve"> box</w:t>
      </w:r>
      <w:r w:rsidR="00827C7C" w:rsidRPr="00640D01">
        <w:t xml:space="preserve"> and </w:t>
      </w:r>
      <w:r w:rsidR="00300EF0" w:rsidRPr="00640D01">
        <w:t>then describe as applicable.</w:t>
      </w:r>
    </w:p>
    <w:p w14:paraId="4A357CE7" w14:textId="29F50C58" w:rsidR="003B2336" w:rsidRPr="00640D01" w:rsidRDefault="00000000" w:rsidP="00446FEB">
      <w:pPr>
        <w:pStyle w:val="BodyTextBold"/>
      </w:pPr>
      <w:sdt>
        <w:sdtPr>
          <w:id w:val="-1814252554"/>
          <w14:checkbox>
            <w14:checked w14:val="0"/>
            <w14:checkedState w14:val="2612" w14:font="MS Gothic"/>
            <w14:uncheckedState w14:val="2610" w14:font="MS Gothic"/>
          </w14:checkbox>
        </w:sdtPr>
        <w:sdtContent>
          <w:r w:rsidR="00446FEB" w:rsidRPr="00640D01">
            <w:rPr>
              <w:rFonts w:ascii="Segoe UI Symbol" w:hAnsi="Segoe UI Symbol" w:cs="Segoe UI Symbol"/>
            </w:rPr>
            <w:t>☐</w:t>
          </w:r>
        </w:sdtContent>
      </w:sdt>
      <w:r w:rsidR="00446FEB" w:rsidRPr="00640D01">
        <w:t xml:space="preserve"> </w:t>
      </w:r>
      <w:r w:rsidR="003B2336" w:rsidRPr="00640D01">
        <w:t>For nonattainment or maintenance areas with adequate or approved SIP MVEB(s</w:t>
      </w:r>
      <w:r w:rsidR="00A25C48" w:rsidRPr="00640D01">
        <w:t>)</w:t>
      </w:r>
    </w:p>
    <w:p w14:paraId="296668FC" w14:textId="3CB63CD7" w:rsidR="00B32E4B" w:rsidRPr="00176A31" w:rsidRDefault="00AE029F" w:rsidP="00176A31">
      <w:pPr>
        <w:pStyle w:val="BodyText"/>
        <w:rPr>
          <w:color w:val="7030A0"/>
        </w:rPr>
      </w:pPr>
      <w:r w:rsidRPr="00176A31">
        <w:rPr>
          <w:b/>
          <w:bCs/>
          <w:color w:val="7030A0"/>
        </w:rPr>
        <w:t>Description and approval</w:t>
      </w:r>
      <w:r w:rsidR="00700C84" w:rsidRPr="00176A31">
        <w:rPr>
          <w:b/>
          <w:bCs/>
          <w:color w:val="7030A0"/>
        </w:rPr>
        <w:t>/justification</w:t>
      </w:r>
      <w:r w:rsidRPr="00176A31">
        <w:rPr>
          <w:b/>
          <w:bCs/>
          <w:color w:val="7030A0"/>
        </w:rPr>
        <w:t xml:space="preserve"> of the MVEB</w:t>
      </w:r>
      <w:r w:rsidR="00700C84" w:rsidRPr="00176A31">
        <w:rPr>
          <w:b/>
          <w:bCs/>
          <w:color w:val="7030A0"/>
        </w:rPr>
        <w:t xml:space="preserve"> used.</w:t>
      </w:r>
      <w:r w:rsidR="00700C84" w:rsidRPr="00176A31">
        <w:rPr>
          <w:color w:val="7030A0"/>
        </w:rPr>
        <w:t xml:space="preserve"> </w:t>
      </w:r>
      <w:r w:rsidR="00F83E89" w:rsidRPr="00640D01">
        <w:rPr>
          <w:color w:val="7030A0"/>
        </w:rPr>
        <w:t xml:space="preserve">(e.g.) </w:t>
      </w:r>
      <w:r w:rsidR="003B2833" w:rsidRPr="00176A31">
        <w:rPr>
          <w:color w:val="7030A0"/>
        </w:rPr>
        <w:t>The 2017 MVEBs</w:t>
      </w:r>
      <w:r w:rsidR="003B2833" w:rsidRPr="00176A31">
        <w:rPr>
          <w:rStyle w:val="FootnoteReference"/>
          <w:color w:val="7030A0"/>
        </w:rPr>
        <w:footnoteReference w:id="5"/>
      </w:r>
      <w:r w:rsidR="003B2833" w:rsidRPr="00176A31">
        <w:rPr>
          <w:color w:val="7030A0"/>
        </w:rPr>
        <w:t xml:space="preserve"> for the N</w:t>
      </w:r>
      <w:r w:rsidR="006A405C">
        <w:rPr>
          <w:color w:val="7030A0"/>
        </w:rPr>
        <w:t>orth Central Texas</w:t>
      </w:r>
      <w:r w:rsidR="003B2833" w:rsidRPr="00176A31">
        <w:rPr>
          <w:color w:val="7030A0"/>
        </w:rPr>
        <w:t xml:space="preserve"> 10-county nonattainment area </w:t>
      </w:r>
      <w:r w:rsidR="00F67B88" w:rsidRPr="00176A31">
        <w:rPr>
          <w:color w:val="7030A0"/>
        </w:rPr>
        <w:t>will be used</w:t>
      </w:r>
      <w:r w:rsidR="003B2833" w:rsidRPr="00176A31">
        <w:rPr>
          <w:color w:val="7030A0"/>
        </w:rPr>
        <w:t>. Since the 2015 8-hour ozone nonattainment area covers a smaller geographic area within the 2008 8-hour ozone nonattainment area, the approved 2017 attainment demonstration SIP MVEBs may be used to determine conformity for the 2015 8-</w:t>
      </w:r>
      <w:r w:rsidR="00F83E89" w:rsidRPr="00640D01">
        <w:rPr>
          <w:color w:val="7030A0"/>
        </w:rPr>
        <w:t>h</w:t>
      </w:r>
      <w:r w:rsidR="00F83E89" w:rsidRPr="00176A31">
        <w:rPr>
          <w:color w:val="7030A0"/>
        </w:rPr>
        <w:t xml:space="preserve">our </w:t>
      </w:r>
      <w:r w:rsidR="00F83E89" w:rsidRPr="00640D01">
        <w:rPr>
          <w:color w:val="7030A0"/>
        </w:rPr>
        <w:t>o</w:t>
      </w:r>
      <w:r w:rsidR="00F83E89" w:rsidRPr="00176A31">
        <w:rPr>
          <w:color w:val="7030A0"/>
        </w:rPr>
        <w:t xml:space="preserve">zone </w:t>
      </w:r>
      <w:r w:rsidR="003B2833" w:rsidRPr="00176A31">
        <w:rPr>
          <w:color w:val="7030A0"/>
        </w:rPr>
        <w:t>NAAQS.</w:t>
      </w:r>
    </w:p>
    <w:p w14:paraId="6F2E0229" w14:textId="7A0B8EDA" w:rsidR="00B32E4B" w:rsidRPr="00640D01" w:rsidRDefault="00000000" w:rsidP="00446FEB">
      <w:pPr>
        <w:pStyle w:val="BodyTextBold"/>
      </w:pPr>
      <w:sdt>
        <w:sdtPr>
          <w:id w:val="630056763"/>
          <w14:checkbox>
            <w14:checked w14:val="0"/>
            <w14:checkedState w14:val="2612" w14:font="MS Gothic"/>
            <w14:uncheckedState w14:val="2610" w14:font="MS Gothic"/>
          </w14:checkbox>
        </w:sdtPr>
        <w:sdtContent>
          <w:r w:rsidR="003B2336" w:rsidRPr="00640D01">
            <w:rPr>
              <w:rFonts w:ascii="Segoe UI Symbol" w:hAnsi="Segoe UI Symbol" w:cs="Segoe UI Symbol"/>
            </w:rPr>
            <w:t>☐</w:t>
          </w:r>
        </w:sdtContent>
      </w:sdt>
      <w:r w:rsidR="003B2336" w:rsidRPr="00640D01">
        <w:t xml:space="preserve"> For moderate and above ozone nonattainment areas without an adequate or approved SIP MVEB(s)</w:t>
      </w:r>
    </w:p>
    <w:p w14:paraId="365C1768" w14:textId="691E14E8" w:rsidR="003B2833" w:rsidRPr="00176A31" w:rsidRDefault="00DE034A" w:rsidP="00176A31">
      <w:pPr>
        <w:pStyle w:val="BodyText"/>
        <w:rPr>
          <w:color w:val="7030A0"/>
        </w:rPr>
      </w:pPr>
      <w:r w:rsidRPr="00176A31">
        <w:rPr>
          <w:b/>
          <w:bCs/>
          <w:color w:val="7030A0"/>
        </w:rPr>
        <w:t>Description of interim emissions tests used</w:t>
      </w:r>
      <w:r w:rsidRPr="00176A31">
        <w:rPr>
          <w:color w:val="7030A0"/>
        </w:rPr>
        <w:t>.</w:t>
      </w:r>
      <w:r w:rsidR="00F83E89" w:rsidRPr="00640D01">
        <w:rPr>
          <w:color w:val="7030A0"/>
        </w:rPr>
        <w:t xml:space="preserve"> (e.g.) A</w:t>
      </w:r>
      <w:r w:rsidRPr="00176A31">
        <w:rPr>
          <w:color w:val="7030A0"/>
        </w:rPr>
        <w:t>nalysis</w:t>
      </w:r>
      <w:r w:rsidR="00B23102" w:rsidRPr="00640D01">
        <w:rPr>
          <w:color w:val="7030A0"/>
        </w:rPr>
        <w:t>-</w:t>
      </w:r>
      <w:r w:rsidRPr="00176A31">
        <w:rPr>
          <w:color w:val="7030A0"/>
        </w:rPr>
        <w:t xml:space="preserve">year build emissions do not exceed </w:t>
      </w:r>
      <w:r w:rsidR="00B23102" w:rsidRPr="00176A31">
        <w:rPr>
          <w:color w:val="7030A0"/>
        </w:rPr>
        <w:t>analysis</w:t>
      </w:r>
      <w:r w:rsidR="00B23102" w:rsidRPr="00640D01">
        <w:rPr>
          <w:color w:val="7030A0"/>
        </w:rPr>
        <w:t>-</w:t>
      </w:r>
      <w:r w:rsidRPr="00176A31">
        <w:rPr>
          <w:color w:val="7030A0"/>
        </w:rPr>
        <w:t>year no</w:t>
      </w:r>
      <w:r w:rsidR="00F83E89" w:rsidRPr="00640D01">
        <w:rPr>
          <w:color w:val="7030A0"/>
        </w:rPr>
        <w:t>-</w:t>
      </w:r>
      <w:r w:rsidRPr="00176A31">
        <w:rPr>
          <w:color w:val="7030A0"/>
        </w:rPr>
        <w:t xml:space="preserve">build emissions </w:t>
      </w:r>
      <w:r w:rsidR="00F83E89" w:rsidRPr="00640D01">
        <w:rPr>
          <w:color w:val="7030A0"/>
        </w:rPr>
        <w:t>and</w:t>
      </w:r>
      <w:r w:rsidRPr="00176A31">
        <w:rPr>
          <w:color w:val="7030A0"/>
        </w:rPr>
        <w:t xml:space="preserve"> do not exceed baseline year emissions.</w:t>
      </w:r>
    </w:p>
    <w:p w14:paraId="747D9054" w14:textId="7C32AA15" w:rsidR="00B012D5" w:rsidRPr="00640D01" w:rsidRDefault="000329F5" w:rsidP="00B012D5">
      <w:pPr>
        <w:pStyle w:val="Heading2"/>
      </w:pPr>
      <w:bookmarkStart w:id="19" w:name="_Toc190242680"/>
      <w:r w:rsidRPr="00640D01">
        <w:lastRenderedPageBreak/>
        <w:t>Findings</w:t>
      </w:r>
      <w:bookmarkEnd w:id="19"/>
    </w:p>
    <w:p w14:paraId="5DE45DF3" w14:textId="322954F9" w:rsidR="00F01F96" w:rsidRPr="00640D01" w:rsidRDefault="00F01F96" w:rsidP="00446FEB">
      <w:pPr>
        <w:pStyle w:val="BodyText"/>
      </w:pPr>
      <w:r w:rsidRPr="00640D01">
        <w:t xml:space="preserve">The </w:t>
      </w:r>
      <w:r w:rsidR="00294919" w:rsidRPr="00640D01">
        <w:rPr>
          <w:color w:val="7030A0"/>
        </w:rPr>
        <w:t>[</w:t>
      </w:r>
      <w:r w:rsidR="00EA20D2" w:rsidRPr="00640D01">
        <w:rPr>
          <w:b/>
          <w:bCs/>
          <w:color w:val="7030A0"/>
        </w:rPr>
        <w:t>pollutant</w:t>
      </w:r>
      <w:r w:rsidR="00294919" w:rsidRPr="00640D01">
        <w:rPr>
          <w:b/>
          <w:bCs/>
          <w:color w:val="7030A0"/>
        </w:rPr>
        <w:t>(s)</w:t>
      </w:r>
      <w:r w:rsidR="00EA20D2" w:rsidRPr="00640D01">
        <w:rPr>
          <w:b/>
          <w:bCs/>
          <w:color w:val="7030A0"/>
        </w:rPr>
        <w:t xml:space="preserve"> </w:t>
      </w:r>
      <w:r w:rsidR="00EA20D2" w:rsidRPr="00176A31">
        <w:rPr>
          <w:color w:val="7030A0"/>
        </w:rPr>
        <w:t>(e.g.</w:t>
      </w:r>
      <w:r w:rsidR="00EA20D2" w:rsidRPr="00640D01">
        <w:rPr>
          <w:color w:val="7030A0"/>
        </w:rPr>
        <w:t>,</w:t>
      </w:r>
      <w:r w:rsidR="00294919" w:rsidRPr="00640D01">
        <w:rPr>
          <w:color w:val="7030A0"/>
        </w:rPr>
        <w:t xml:space="preserve"> PM</w:t>
      </w:r>
      <w:r w:rsidR="00294919" w:rsidRPr="00176A31">
        <w:rPr>
          <w:color w:val="7030A0"/>
          <w:vertAlign w:val="subscript"/>
        </w:rPr>
        <w:t>10</w:t>
      </w:r>
      <w:r w:rsidR="00294919" w:rsidRPr="00640D01">
        <w:rPr>
          <w:color w:val="7030A0"/>
        </w:rPr>
        <w:t>, etc.</w:t>
      </w:r>
      <w:r w:rsidR="00EA20D2" w:rsidRPr="00640D01">
        <w:rPr>
          <w:color w:val="7030A0"/>
        </w:rPr>
        <w:t>)</w:t>
      </w:r>
      <w:r w:rsidR="00294919" w:rsidRPr="00640D01">
        <w:rPr>
          <w:color w:val="7030A0"/>
        </w:rPr>
        <w:t xml:space="preserve">] </w:t>
      </w:r>
      <w:r w:rsidR="00734601" w:rsidRPr="00640D01">
        <w:t>v</w:t>
      </w:r>
      <w:r w:rsidRPr="00640D01">
        <w:t xml:space="preserve">ehicle </w:t>
      </w:r>
      <w:r w:rsidR="00495FDE" w:rsidRPr="00640D01">
        <w:rPr>
          <w:color w:val="7030A0"/>
        </w:rPr>
        <w:t>[</w:t>
      </w:r>
      <w:r w:rsidR="00B23102" w:rsidRPr="00640D01">
        <w:rPr>
          <w:b/>
          <w:bCs/>
          <w:color w:val="7030A0"/>
        </w:rPr>
        <w:t xml:space="preserve">period </w:t>
      </w:r>
      <w:r w:rsidR="00EA20D2" w:rsidRPr="00176A31">
        <w:rPr>
          <w:color w:val="7030A0"/>
        </w:rPr>
        <w:t>(e.g.</w:t>
      </w:r>
      <w:r w:rsidR="00495FDE" w:rsidRPr="00640D01">
        <w:rPr>
          <w:color w:val="7030A0"/>
        </w:rPr>
        <w:t xml:space="preserve">, </w:t>
      </w:r>
      <w:r w:rsidRPr="00640D01">
        <w:rPr>
          <w:color w:val="7030A0"/>
        </w:rPr>
        <w:t>summer weekday</w:t>
      </w:r>
      <w:r w:rsidR="00EA20D2" w:rsidRPr="00640D01">
        <w:rPr>
          <w:color w:val="7030A0"/>
        </w:rPr>
        <w:t>)</w:t>
      </w:r>
      <w:r w:rsidR="00495FDE" w:rsidRPr="00640D01">
        <w:rPr>
          <w:color w:val="7030A0"/>
        </w:rPr>
        <w:t>]</w:t>
      </w:r>
      <w:r w:rsidRPr="00640D01">
        <w:rPr>
          <w:color w:val="7030A0"/>
        </w:rPr>
        <w:t xml:space="preserve"> </w:t>
      </w:r>
      <w:r w:rsidRPr="00640D01">
        <w:t xml:space="preserve">emission results shown </w:t>
      </w:r>
      <w:r w:rsidR="006A405C">
        <w:t xml:space="preserve">in Table 1-1 </w:t>
      </w:r>
      <w:r w:rsidR="00EB3AA5" w:rsidRPr="00640D01">
        <w:t xml:space="preserve">below </w:t>
      </w:r>
      <w:r w:rsidRPr="00640D01">
        <w:t>demonstrate</w:t>
      </w:r>
      <w:r w:rsidR="00CF405F" w:rsidRPr="00640D01">
        <w:t xml:space="preserve"> </w:t>
      </w:r>
      <w:r w:rsidR="00EA20D2" w:rsidRPr="00640D01">
        <w:t xml:space="preserve">that </w:t>
      </w:r>
      <w:r w:rsidR="00CF405F" w:rsidRPr="00640D01">
        <w:t>the</w:t>
      </w:r>
      <w:r w:rsidRPr="00640D01">
        <w:t xml:space="preserve"> </w:t>
      </w:r>
      <w:r w:rsidR="00B82961" w:rsidRPr="00640D01">
        <w:rPr>
          <w:b/>
          <w:bCs/>
          <w:color w:val="C00000"/>
        </w:rPr>
        <w:fldChar w:fldCharType="begin"/>
      </w:r>
      <w:r w:rsidR="00B82961" w:rsidRPr="00640D01">
        <w:instrText xml:space="preserve"> REF RegionName \h </w:instrText>
      </w:r>
      <w:r w:rsidR="00B82961" w:rsidRPr="00640D01">
        <w:rPr>
          <w:b/>
          <w:bCs/>
          <w:color w:val="C00000"/>
        </w:rPr>
      </w:r>
      <w:r w:rsidR="00B82961" w:rsidRPr="00640D01">
        <w:rPr>
          <w:b/>
          <w:bCs/>
          <w:color w:val="C00000"/>
        </w:rPr>
        <w:fldChar w:fldCharType="separate"/>
      </w:r>
      <w:sdt>
        <w:sdtPr>
          <w:rPr>
            <w:b/>
            <w:bCs/>
            <w:color w:val="C00000"/>
          </w:rPr>
          <w:alias w:val="Region Name"/>
          <w:tag w:val="Region Name"/>
          <w:id w:val="1896389953"/>
          <w:placeholder>
            <w:docPart w:val="6940A353B7534EE6AE7EE93D51A91F25"/>
          </w:placeholder>
          <w:dropDownList>
            <w:listItem w:displayText="[Region name]" w:value="[Region name]"/>
            <w:listItem w:displayText="Beaumont-Port Arthur" w:value="Beaumont-Port Arthur"/>
            <w:listItem w:displayText="Dallas-Fort Worth" w:value="Dallas-Fort Worth"/>
            <w:listItem w:displayText="El Paso" w:value="El Paso"/>
            <w:listItem w:displayText="Houston-Galveston-Brazoria" w:value="Houston-Galveston-Brazoria"/>
            <w:listItem w:displayText="San Antonio" w:value="San Antonio"/>
          </w:dropDownList>
        </w:sdtPr>
        <w:sdtContent>
          <w:r w:rsidR="00514311">
            <w:rPr>
              <w:b/>
              <w:bCs/>
              <w:color w:val="C00000"/>
            </w:rPr>
            <w:t>[Region name]</w:t>
          </w:r>
        </w:sdtContent>
      </w:sdt>
      <w:r w:rsidR="00B82961" w:rsidRPr="00640D01">
        <w:rPr>
          <w:b/>
          <w:bCs/>
          <w:color w:val="C00000"/>
        </w:rPr>
        <w:fldChar w:fldCharType="end"/>
      </w:r>
      <w:r w:rsidR="00290BF9" w:rsidRPr="00640D01">
        <w:t xml:space="preserve">nonattainment </w:t>
      </w:r>
      <w:r w:rsidR="00726A40" w:rsidRPr="00640D01">
        <w:t xml:space="preserve">region </w:t>
      </w:r>
      <w:r w:rsidRPr="00640D01">
        <w:t>meets the regional air quality conformity requirements</w:t>
      </w:r>
      <w:r w:rsidR="00EB3AA5" w:rsidRPr="00640D01">
        <w:t xml:space="preserve"> </w:t>
      </w:r>
      <w:r w:rsidR="0008475E" w:rsidRPr="00640D01">
        <w:rPr>
          <w:rFonts w:eastAsia="MS Gothic" w:cs="Times New Roman"/>
          <w:color w:val="7030A0"/>
        </w:rPr>
        <w:t>[</w:t>
      </w:r>
      <w:r w:rsidR="00B23102" w:rsidRPr="00640D01">
        <w:rPr>
          <w:rFonts w:eastAsia="MS Gothic" w:cs="Times New Roman"/>
          <w:b/>
          <w:bCs/>
          <w:color w:val="7030A0"/>
        </w:rPr>
        <w:t xml:space="preserve">name </w:t>
      </w:r>
      <w:r w:rsidR="0008475E" w:rsidRPr="00640D01">
        <w:rPr>
          <w:rFonts w:eastAsia="MS Gothic" w:cs="Times New Roman"/>
          <w:b/>
          <w:bCs/>
          <w:color w:val="7030A0"/>
        </w:rPr>
        <w:t>of NAAQS</w:t>
      </w:r>
      <w:r w:rsidR="0008475E" w:rsidRPr="00640D01">
        <w:rPr>
          <w:rFonts w:eastAsia="MS Gothic" w:cs="Times New Roman"/>
          <w:color w:val="7030A0"/>
        </w:rPr>
        <w:t xml:space="preserve"> </w:t>
      </w:r>
      <w:r w:rsidR="00EA20D2" w:rsidRPr="00640D01">
        <w:rPr>
          <w:rFonts w:eastAsia="MS Gothic" w:cs="Times New Roman"/>
          <w:color w:val="7030A0"/>
        </w:rPr>
        <w:t xml:space="preserve">(e.g., </w:t>
      </w:r>
      <w:r w:rsidR="0008475E" w:rsidRPr="00640D01">
        <w:rPr>
          <w:rFonts w:eastAsia="MS Gothic" w:cs="Times New Roman"/>
          <w:color w:val="7030A0"/>
        </w:rPr>
        <w:t xml:space="preserve">2015 </w:t>
      </w:r>
      <w:r w:rsidR="00EA20D2" w:rsidRPr="00640D01">
        <w:rPr>
          <w:rFonts w:eastAsia="MS Gothic" w:cs="Times New Roman"/>
          <w:color w:val="7030A0"/>
        </w:rPr>
        <w:t>ozone</w:t>
      </w:r>
      <w:r w:rsidR="0008475E" w:rsidRPr="00640D01">
        <w:rPr>
          <w:rFonts w:eastAsia="MS Gothic" w:cs="Times New Roman"/>
          <w:color w:val="7030A0"/>
        </w:rPr>
        <w:t>, PM</w:t>
      </w:r>
      <w:r w:rsidR="0008475E" w:rsidRPr="00176A31">
        <w:rPr>
          <w:rFonts w:eastAsia="MS Gothic" w:cs="Times New Roman"/>
          <w:color w:val="7030A0"/>
          <w:vertAlign w:val="subscript"/>
        </w:rPr>
        <w:t>10</w:t>
      </w:r>
      <w:r w:rsidR="0008475E" w:rsidRPr="00640D01">
        <w:rPr>
          <w:rFonts w:eastAsia="MS Gothic" w:cs="Times New Roman"/>
          <w:color w:val="7030A0"/>
        </w:rPr>
        <w:t>, etc</w:t>
      </w:r>
      <w:r w:rsidR="00EA20D2" w:rsidRPr="00640D01">
        <w:rPr>
          <w:rFonts w:eastAsia="MS Gothic" w:cs="Times New Roman"/>
          <w:color w:val="7030A0"/>
        </w:rPr>
        <w:t>.)</w:t>
      </w:r>
      <w:r w:rsidR="0008475E" w:rsidRPr="00640D01">
        <w:rPr>
          <w:rFonts w:eastAsia="MS Gothic" w:cs="Times New Roman"/>
          <w:color w:val="7030A0"/>
        </w:rPr>
        <w:t>]</w:t>
      </w:r>
      <w:r w:rsidR="0008475E" w:rsidRPr="00640D01">
        <w:rPr>
          <w:rFonts w:eastAsia="MS Gothic" w:cs="Times New Roman"/>
        </w:rPr>
        <w:t>.</w:t>
      </w:r>
    </w:p>
    <w:bookmarkStart w:id="20" w:name="_Ref151992839"/>
    <w:bookmarkStart w:id="21" w:name="_Toc190183113"/>
    <w:p w14:paraId="3403B7E2" w14:textId="763CC062" w:rsidR="00514311" w:rsidRDefault="00000000" w:rsidP="00514311">
      <w:pPr>
        <w:pStyle w:val="BodyTextBold"/>
      </w:pPr>
      <w:sdt>
        <w:sdtPr>
          <w:id w:val="-717662845"/>
          <w14:checkbox>
            <w14:checked w14:val="0"/>
            <w14:checkedState w14:val="2612" w14:font="MS Gothic"/>
            <w14:uncheckedState w14:val="2610" w14:font="MS Gothic"/>
          </w14:checkbox>
        </w:sdtPr>
        <w:sdtContent>
          <w:r w:rsidR="00EB3AA5" w:rsidRPr="00640D01">
            <w:rPr>
              <w:rFonts w:ascii="MS Gothic" w:eastAsia="MS Gothic" w:hAnsi="MS Gothic"/>
            </w:rPr>
            <w:t>☐</w:t>
          </w:r>
        </w:sdtContent>
      </w:sdt>
      <w:r w:rsidR="00446FEB" w:rsidRPr="00640D01">
        <w:t xml:space="preserve"> </w:t>
      </w:r>
      <w:bookmarkEnd w:id="20"/>
      <w:r w:rsidR="00514311">
        <w:t xml:space="preserve">Table </w:t>
      </w:r>
      <w:r w:rsidR="00514311">
        <w:fldChar w:fldCharType="begin"/>
      </w:r>
      <w:r w:rsidR="00514311">
        <w:instrText xml:space="preserve"> STYLEREF 1 \s </w:instrText>
      </w:r>
      <w:r w:rsidR="00514311">
        <w:fldChar w:fldCharType="separate"/>
      </w:r>
      <w:r w:rsidR="00514311">
        <w:rPr>
          <w:noProof/>
        </w:rPr>
        <w:t>1</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1</w:t>
      </w:r>
      <w:r w:rsidR="00514311">
        <w:fldChar w:fldCharType="end"/>
      </w:r>
      <w:r w:rsidR="00514311">
        <w:t xml:space="preserve">. </w:t>
      </w:r>
      <w:r w:rsidR="00514311" w:rsidRPr="009244EF">
        <w:t>For nonattainment or maintenance areas with adequate or approved SIP MVEB(s)</w:t>
      </w:r>
      <w:bookmarkEnd w:id="21"/>
    </w:p>
    <w:tbl>
      <w:tblPr>
        <w:tblStyle w:val="TableGrid"/>
        <w:tblW w:w="0" w:type="auto"/>
        <w:tblBorders>
          <w:left w:val="single" w:sz="4" w:space="0" w:color="FFFFFF" w:themeColor="background1"/>
          <w:right w:val="single" w:sz="4" w:space="0" w:color="FFFFFF" w:themeColor="background1"/>
        </w:tblBorders>
        <w:tblCellMar>
          <w:top w:w="29" w:type="dxa"/>
          <w:bottom w:w="29" w:type="dxa"/>
        </w:tblCellMar>
        <w:tblLook w:val="04A0" w:firstRow="1" w:lastRow="0" w:firstColumn="1" w:lastColumn="0" w:noHBand="0" w:noVBand="1"/>
      </w:tblPr>
      <w:tblGrid>
        <w:gridCol w:w="1242"/>
        <w:gridCol w:w="1299"/>
        <w:gridCol w:w="1702"/>
        <w:gridCol w:w="1702"/>
        <w:gridCol w:w="1702"/>
        <w:gridCol w:w="1703"/>
      </w:tblGrid>
      <w:tr w:rsidR="009C0904" w:rsidRPr="00640D01" w14:paraId="23610E57" w14:textId="77777777" w:rsidTr="00446FEB">
        <w:tc>
          <w:tcPr>
            <w:tcW w:w="1242" w:type="dxa"/>
            <w:tcBorders>
              <w:right w:val="single" w:sz="4" w:space="0" w:color="FFFFFF" w:themeColor="background1"/>
            </w:tcBorders>
            <w:shd w:val="clear" w:color="auto" w:fill="002060"/>
            <w:vAlign w:val="center"/>
          </w:tcPr>
          <w:p w14:paraId="7FD9EB82" w14:textId="77777777" w:rsidR="009C0904" w:rsidRPr="00640D01" w:rsidRDefault="009C0904" w:rsidP="00446FEB">
            <w:pPr>
              <w:pStyle w:val="TableHeader"/>
            </w:pPr>
            <w:r w:rsidRPr="00640D01">
              <w:t>Analysis Year</w:t>
            </w:r>
          </w:p>
        </w:tc>
        <w:tc>
          <w:tcPr>
            <w:tcW w:w="1299" w:type="dxa"/>
            <w:tcBorders>
              <w:left w:val="single" w:sz="4" w:space="0" w:color="FFFFFF" w:themeColor="background1"/>
              <w:right w:val="single" w:sz="4" w:space="0" w:color="FFFFFF" w:themeColor="background1"/>
            </w:tcBorders>
            <w:shd w:val="clear" w:color="auto" w:fill="002060"/>
            <w:vAlign w:val="center"/>
          </w:tcPr>
          <w:p w14:paraId="59C4BB3F" w14:textId="1863E64B" w:rsidR="009C0904" w:rsidRPr="00640D01" w:rsidRDefault="009C0904" w:rsidP="00446FEB">
            <w:pPr>
              <w:pStyle w:val="TableHeader"/>
            </w:pPr>
            <w:r w:rsidRPr="00640D01">
              <w:t>Total Vehicle Miles of Travel</w:t>
            </w:r>
          </w:p>
        </w:tc>
        <w:tc>
          <w:tcPr>
            <w:tcW w:w="1702" w:type="dxa"/>
            <w:tcBorders>
              <w:left w:val="single" w:sz="4" w:space="0" w:color="FFFFFF" w:themeColor="background1"/>
              <w:right w:val="single" w:sz="4" w:space="0" w:color="FFFFFF" w:themeColor="background1"/>
            </w:tcBorders>
            <w:shd w:val="clear" w:color="auto" w:fill="002060"/>
            <w:vAlign w:val="center"/>
          </w:tcPr>
          <w:p w14:paraId="662CCB11" w14:textId="65A6814E" w:rsidR="009C0904" w:rsidRPr="00640D01" w:rsidRDefault="009C0904" w:rsidP="00446FEB">
            <w:pPr>
              <w:pStyle w:val="TableHeader"/>
            </w:pPr>
            <w:r w:rsidRPr="00640D01">
              <w:t>NOx Budget (</w:t>
            </w:r>
            <w:r w:rsidR="00386ED7" w:rsidRPr="00640D01">
              <w:t>Tons/Day</w:t>
            </w:r>
            <w:r w:rsidRPr="00640D01">
              <w:t>)</w:t>
            </w:r>
          </w:p>
        </w:tc>
        <w:tc>
          <w:tcPr>
            <w:tcW w:w="1702" w:type="dxa"/>
            <w:tcBorders>
              <w:left w:val="single" w:sz="4" w:space="0" w:color="FFFFFF" w:themeColor="background1"/>
              <w:right w:val="single" w:sz="4" w:space="0" w:color="FFFFFF" w:themeColor="background1"/>
            </w:tcBorders>
            <w:shd w:val="clear" w:color="auto" w:fill="002060"/>
            <w:vAlign w:val="center"/>
          </w:tcPr>
          <w:p w14:paraId="5F773A4B" w14:textId="61165FD9" w:rsidR="009C0904" w:rsidRPr="00640D01" w:rsidRDefault="009C0904" w:rsidP="00446FEB">
            <w:pPr>
              <w:pStyle w:val="TableHeader"/>
            </w:pPr>
            <w:r w:rsidRPr="00640D01">
              <w:t>NOx Emissions (</w:t>
            </w:r>
            <w:r w:rsidR="00386ED7" w:rsidRPr="00640D01">
              <w:t>Tons/Day</w:t>
            </w:r>
            <w:r w:rsidRPr="00640D01">
              <w:t>)</w:t>
            </w:r>
          </w:p>
        </w:tc>
        <w:tc>
          <w:tcPr>
            <w:tcW w:w="1702" w:type="dxa"/>
            <w:tcBorders>
              <w:left w:val="single" w:sz="4" w:space="0" w:color="FFFFFF" w:themeColor="background1"/>
              <w:right w:val="single" w:sz="4" w:space="0" w:color="FFFFFF" w:themeColor="background1"/>
            </w:tcBorders>
            <w:shd w:val="clear" w:color="auto" w:fill="002060"/>
            <w:vAlign w:val="center"/>
          </w:tcPr>
          <w:p w14:paraId="7C043765" w14:textId="0D73EB3E" w:rsidR="009C0904" w:rsidRPr="00640D01" w:rsidRDefault="009C0904" w:rsidP="00446FEB">
            <w:pPr>
              <w:pStyle w:val="TableHeader"/>
            </w:pPr>
            <w:r w:rsidRPr="00640D01">
              <w:t>VOC Budget (</w:t>
            </w:r>
            <w:r w:rsidR="00386ED7" w:rsidRPr="00640D01">
              <w:t>Tons/Day</w:t>
            </w:r>
            <w:r w:rsidRPr="00640D01">
              <w:t>)</w:t>
            </w:r>
          </w:p>
        </w:tc>
        <w:tc>
          <w:tcPr>
            <w:tcW w:w="1703" w:type="dxa"/>
            <w:tcBorders>
              <w:left w:val="single" w:sz="4" w:space="0" w:color="FFFFFF" w:themeColor="background1"/>
            </w:tcBorders>
            <w:shd w:val="clear" w:color="auto" w:fill="002060"/>
            <w:vAlign w:val="center"/>
          </w:tcPr>
          <w:p w14:paraId="48CE09F6" w14:textId="54A62AA6" w:rsidR="009C0904" w:rsidRPr="00640D01" w:rsidRDefault="009C0904" w:rsidP="00446FEB">
            <w:pPr>
              <w:pStyle w:val="TableHeader"/>
            </w:pPr>
            <w:r w:rsidRPr="00640D01">
              <w:t>VOC Emissions (</w:t>
            </w:r>
            <w:r w:rsidR="00386ED7" w:rsidRPr="00640D01">
              <w:t>Tons/Day</w:t>
            </w:r>
            <w:r w:rsidRPr="00640D01">
              <w:t>)</w:t>
            </w:r>
          </w:p>
        </w:tc>
      </w:tr>
      <w:tr w:rsidR="009C0904" w:rsidRPr="00640D01" w14:paraId="0A5D5ECE" w14:textId="77777777" w:rsidTr="00446FEB">
        <w:tc>
          <w:tcPr>
            <w:tcW w:w="1242" w:type="dxa"/>
            <w:vAlign w:val="center"/>
          </w:tcPr>
          <w:p w14:paraId="5D6FEFA1" w14:textId="073BC163" w:rsidR="009C0904" w:rsidRPr="00640D01" w:rsidRDefault="009C0904" w:rsidP="00446FEB">
            <w:pPr>
              <w:pStyle w:val="TableText"/>
            </w:pPr>
          </w:p>
        </w:tc>
        <w:tc>
          <w:tcPr>
            <w:tcW w:w="1299" w:type="dxa"/>
            <w:vAlign w:val="center"/>
          </w:tcPr>
          <w:p w14:paraId="305E1F5E" w14:textId="77777777" w:rsidR="009C0904" w:rsidRPr="00640D01" w:rsidRDefault="009C0904" w:rsidP="00446FEB">
            <w:pPr>
              <w:pStyle w:val="TableText"/>
            </w:pPr>
          </w:p>
        </w:tc>
        <w:tc>
          <w:tcPr>
            <w:tcW w:w="1702" w:type="dxa"/>
            <w:vAlign w:val="center"/>
          </w:tcPr>
          <w:p w14:paraId="2A48CD07" w14:textId="22FBC916" w:rsidR="009C0904" w:rsidRPr="00640D01" w:rsidRDefault="009C0904" w:rsidP="00446FEB">
            <w:pPr>
              <w:pStyle w:val="TableText"/>
            </w:pPr>
          </w:p>
        </w:tc>
        <w:tc>
          <w:tcPr>
            <w:tcW w:w="1702" w:type="dxa"/>
            <w:vAlign w:val="center"/>
          </w:tcPr>
          <w:p w14:paraId="45EE61B4" w14:textId="77777777" w:rsidR="009C0904" w:rsidRPr="00640D01" w:rsidRDefault="009C0904" w:rsidP="00446FEB">
            <w:pPr>
              <w:pStyle w:val="TableText"/>
            </w:pPr>
          </w:p>
        </w:tc>
        <w:tc>
          <w:tcPr>
            <w:tcW w:w="1702" w:type="dxa"/>
            <w:vAlign w:val="center"/>
          </w:tcPr>
          <w:p w14:paraId="65272043" w14:textId="77777777" w:rsidR="009C0904" w:rsidRPr="00640D01" w:rsidRDefault="009C0904" w:rsidP="00446FEB">
            <w:pPr>
              <w:pStyle w:val="TableText"/>
            </w:pPr>
          </w:p>
        </w:tc>
        <w:tc>
          <w:tcPr>
            <w:tcW w:w="1703" w:type="dxa"/>
            <w:vAlign w:val="center"/>
          </w:tcPr>
          <w:p w14:paraId="290D9D6E" w14:textId="77777777" w:rsidR="009C0904" w:rsidRPr="00640D01" w:rsidRDefault="009C0904" w:rsidP="00446FEB">
            <w:pPr>
              <w:pStyle w:val="TableText"/>
            </w:pPr>
          </w:p>
        </w:tc>
      </w:tr>
      <w:tr w:rsidR="00E41DD3" w:rsidRPr="00640D01" w14:paraId="317841C9" w14:textId="77777777" w:rsidTr="00446FEB">
        <w:tc>
          <w:tcPr>
            <w:tcW w:w="1242" w:type="dxa"/>
            <w:vAlign w:val="center"/>
          </w:tcPr>
          <w:p w14:paraId="1AC8D71C" w14:textId="77777777" w:rsidR="00E41DD3" w:rsidRPr="00640D01" w:rsidRDefault="00E41DD3" w:rsidP="00446FEB">
            <w:pPr>
              <w:pStyle w:val="TableText"/>
            </w:pPr>
          </w:p>
        </w:tc>
        <w:tc>
          <w:tcPr>
            <w:tcW w:w="1299" w:type="dxa"/>
            <w:vAlign w:val="center"/>
          </w:tcPr>
          <w:p w14:paraId="25F10FC9" w14:textId="77777777" w:rsidR="00E41DD3" w:rsidRPr="00640D01" w:rsidRDefault="00E41DD3" w:rsidP="00446FEB">
            <w:pPr>
              <w:pStyle w:val="TableText"/>
            </w:pPr>
          </w:p>
        </w:tc>
        <w:tc>
          <w:tcPr>
            <w:tcW w:w="1702" w:type="dxa"/>
            <w:vAlign w:val="center"/>
          </w:tcPr>
          <w:p w14:paraId="2BF757DB" w14:textId="77777777" w:rsidR="00E41DD3" w:rsidRPr="00640D01" w:rsidRDefault="00E41DD3" w:rsidP="00446FEB">
            <w:pPr>
              <w:pStyle w:val="TableText"/>
            </w:pPr>
          </w:p>
        </w:tc>
        <w:tc>
          <w:tcPr>
            <w:tcW w:w="1702" w:type="dxa"/>
            <w:vAlign w:val="center"/>
          </w:tcPr>
          <w:p w14:paraId="4AF22B20" w14:textId="77777777" w:rsidR="00E41DD3" w:rsidRPr="00640D01" w:rsidRDefault="00E41DD3" w:rsidP="00446FEB">
            <w:pPr>
              <w:pStyle w:val="TableText"/>
            </w:pPr>
          </w:p>
        </w:tc>
        <w:tc>
          <w:tcPr>
            <w:tcW w:w="1702" w:type="dxa"/>
            <w:vAlign w:val="center"/>
          </w:tcPr>
          <w:p w14:paraId="476D37CD" w14:textId="77777777" w:rsidR="00E41DD3" w:rsidRPr="00640D01" w:rsidRDefault="00E41DD3" w:rsidP="00446FEB">
            <w:pPr>
              <w:pStyle w:val="TableText"/>
            </w:pPr>
          </w:p>
        </w:tc>
        <w:tc>
          <w:tcPr>
            <w:tcW w:w="1703" w:type="dxa"/>
            <w:vAlign w:val="center"/>
          </w:tcPr>
          <w:p w14:paraId="440290C2" w14:textId="77777777" w:rsidR="00E41DD3" w:rsidRPr="00640D01" w:rsidRDefault="00E41DD3" w:rsidP="00446FEB">
            <w:pPr>
              <w:pStyle w:val="TableText"/>
            </w:pPr>
          </w:p>
        </w:tc>
      </w:tr>
      <w:tr w:rsidR="00E41DD3" w:rsidRPr="00640D01" w14:paraId="15C3705E" w14:textId="77777777" w:rsidTr="00446FEB">
        <w:tc>
          <w:tcPr>
            <w:tcW w:w="1242" w:type="dxa"/>
            <w:vAlign w:val="center"/>
          </w:tcPr>
          <w:p w14:paraId="43DE7BA3" w14:textId="77777777" w:rsidR="00E41DD3" w:rsidRPr="00640D01" w:rsidRDefault="00E41DD3" w:rsidP="00446FEB">
            <w:pPr>
              <w:pStyle w:val="TableText"/>
            </w:pPr>
          </w:p>
        </w:tc>
        <w:tc>
          <w:tcPr>
            <w:tcW w:w="1299" w:type="dxa"/>
            <w:vAlign w:val="center"/>
          </w:tcPr>
          <w:p w14:paraId="4939FF58" w14:textId="77777777" w:rsidR="00E41DD3" w:rsidRPr="00640D01" w:rsidRDefault="00E41DD3" w:rsidP="00446FEB">
            <w:pPr>
              <w:pStyle w:val="TableText"/>
            </w:pPr>
          </w:p>
        </w:tc>
        <w:tc>
          <w:tcPr>
            <w:tcW w:w="1702" w:type="dxa"/>
            <w:vAlign w:val="center"/>
          </w:tcPr>
          <w:p w14:paraId="5105B8B8" w14:textId="77777777" w:rsidR="00E41DD3" w:rsidRPr="00640D01" w:rsidRDefault="00E41DD3" w:rsidP="00446FEB">
            <w:pPr>
              <w:pStyle w:val="TableText"/>
            </w:pPr>
          </w:p>
        </w:tc>
        <w:tc>
          <w:tcPr>
            <w:tcW w:w="1702" w:type="dxa"/>
            <w:vAlign w:val="center"/>
          </w:tcPr>
          <w:p w14:paraId="638C5E4E" w14:textId="77777777" w:rsidR="00E41DD3" w:rsidRPr="00640D01" w:rsidRDefault="00E41DD3" w:rsidP="00446FEB">
            <w:pPr>
              <w:pStyle w:val="TableText"/>
            </w:pPr>
          </w:p>
        </w:tc>
        <w:tc>
          <w:tcPr>
            <w:tcW w:w="1702" w:type="dxa"/>
            <w:vAlign w:val="center"/>
          </w:tcPr>
          <w:p w14:paraId="1B0AD305" w14:textId="77777777" w:rsidR="00E41DD3" w:rsidRPr="00640D01" w:rsidRDefault="00E41DD3" w:rsidP="00446FEB">
            <w:pPr>
              <w:pStyle w:val="TableText"/>
            </w:pPr>
          </w:p>
        </w:tc>
        <w:tc>
          <w:tcPr>
            <w:tcW w:w="1703" w:type="dxa"/>
            <w:vAlign w:val="center"/>
          </w:tcPr>
          <w:p w14:paraId="094E23E3" w14:textId="77777777" w:rsidR="00E41DD3" w:rsidRPr="00640D01" w:rsidRDefault="00E41DD3" w:rsidP="00446FEB">
            <w:pPr>
              <w:pStyle w:val="TableText"/>
            </w:pPr>
          </w:p>
        </w:tc>
      </w:tr>
      <w:tr w:rsidR="009C0904" w:rsidRPr="00640D01" w14:paraId="2878DA44" w14:textId="77777777" w:rsidTr="00446FEB">
        <w:tc>
          <w:tcPr>
            <w:tcW w:w="1242" w:type="dxa"/>
            <w:vAlign w:val="center"/>
          </w:tcPr>
          <w:p w14:paraId="3B0AB025" w14:textId="1A76A9BD" w:rsidR="009C0904" w:rsidRPr="00640D01" w:rsidRDefault="009C0904" w:rsidP="00446FEB">
            <w:pPr>
              <w:pStyle w:val="TableText"/>
            </w:pPr>
          </w:p>
        </w:tc>
        <w:tc>
          <w:tcPr>
            <w:tcW w:w="1299" w:type="dxa"/>
            <w:vAlign w:val="center"/>
          </w:tcPr>
          <w:p w14:paraId="47704223" w14:textId="77777777" w:rsidR="009C0904" w:rsidRPr="00640D01" w:rsidRDefault="009C0904" w:rsidP="00446FEB">
            <w:pPr>
              <w:pStyle w:val="TableText"/>
            </w:pPr>
          </w:p>
        </w:tc>
        <w:tc>
          <w:tcPr>
            <w:tcW w:w="1702" w:type="dxa"/>
            <w:vAlign w:val="center"/>
          </w:tcPr>
          <w:p w14:paraId="241454D5" w14:textId="2A6D8ABD" w:rsidR="009C0904" w:rsidRPr="00640D01" w:rsidRDefault="009C0904" w:rsidP="00446FEB">
            <w:pPr>
              <w:pStyle w:val="TableText"/>
            </w:pPr>
          </w:p>
        </w:tc>
        <w:tc>
          <w:tcPr>
            <w:tcW w:w="1702" w:type="dxa"/>
            <w:vAlign w:val="center"/>
          </w:tcPr>
          <w:p w14:paraId="3B073D9B" w14:textId="77777777" w:rsidR="009C0904" w:rsidRPr="00640D01" w:rsidRDefault="009C0904" w:rsidP="00446FEB">
            <w:pPr>
              <w:pStyle w:val="TableText"/>
            </w:pPr>
          </w:p>
        </w:tc>
        <w:tc>
          <w:tcPr>
            <w:tcW w:w="1702" w:type="dxa"/>
            <w:vAlign w:val="center"/>
          </w:tcPr>
          <w:p w14:paraId="1FD32F10" w14:textId="77777777" w:rsidR="009C0904" w:rsidRPr="00640D01" w:rsidRDefault="009C0904" w:rsidP="00446FEB">
            <w:pPr>
              <w:pStyle w:val="TableText"/>
            </w:pPr>
          </w:p>
        </w:tc>
        <w:tc>
          <w:tcPr>
            <w:tcW w:w="1703" w:type="dxa"/>
            <w:vAlign w:val="center"/>
          </w:tcPr>
          <w:p w14:paraId="03C144CB" w14:textId="77777777" w:rsidR="009C0904" w:rsidRPr="00640D01" w:rsidRDefault="009C0904" w:rsidP="00446FEB">
            <w:pPr>
              <w:pStyle w:val="TableText"/>
            </w:pPr>
          </w:p>
        </w:tc>
      </w:tr>
    </w:tbl>
    <w:p w14:paraId="56871871" w14:textId="77777777" w:rsidR="00300EF0" w:rsidRPr="00640D01" w:rsidRDefault="00300EF0" w:rsidP="00176A31">
      <w:pPr>
        <w:spacing w:after="0" w:line="240" w:lineRule="auto"/>
      </w:pPr>
    </w:p>
    <w:p w14:paraId="3D93A6AE" w14:textId="2579E497" w:rsidR="00052F90" w:rsidRPr="00640D01" w:rsidRDefault="00000000" w:rsidP="00446FEB">
      <w:pPr>
        <w:pStyle w:val="BodyTextBold"/>
      </w:pPr>
      <w:sdt>
        <w:sdtPr>
          <w:id w:val="1847596735"/>
          <w14:checkbox>
            <w14:checked w14:val="0"/>
            <w14:checkedState w14:val="2612" w14:font="MS Gothic"/>
            <w14:uncheckedState w14:val="2610" w14:font="MS Gothic"/>
          </w14:checkbox>
        </w:sdtPr>
        <w:sdtContent>
          <w:r w:rsidR="00EB3AA5" w:rsidRPr="00640D01">
            <w:rPr>
              <w:rFonts w:ascii="MS Gothic" w:eastAsia="MS Gothic" w:hAnsi="MS Gothic"/>
            </w:rPr>
            <w:t>☐</w:t>
          </w:r>
        </w:sdtContent>
      </w:sdt>
      <w:r w:rsidR="00446FEB" w:rsidRPr="00640D01">
        <w:t xml:space="preserve"> </w:t>
      </w:r>
      <w:r w:rsidR="006A405C">
        <w:t xml:space="preserve">Table 1-1. </w:t>
      </w:r>
      <w:r w:rsidR="007927E9" w:rsidRPr="00640D01">
        <w:t>For moderate and above ozone nonattainment areas without an adequate or approved SIP MVEB(s)</w:t>
      </w:r>
    </w:p>
    <w:tbl>
      <w:tblPr>
        <w:tblStyle w:val="TableGrid"/>
        <w:tblW w:w="0" w:type="auto"/>
        <w:tblBorders>
          <w:left w:val="single" w:sz="4" w:space="0" w:color="FFFFFF" w:themeColor="background1"/>
          <w:right w:val="single" w:sz="4" w:space="0" w:color="FFFFFF" w:themeColor="background1"/>
        </w:tblBorders>
        <w:tblCellMar>
          <w:top w:w="29" w:type="dxa"/>
          <w:bottom w:w="29" w:type="dxa"/>
        </w:tblCellMar>
        <w:tblLook w:val="04A0" w:firstRow="1" w:lastRow="0" w:firstColumn="1" w:lastColumn="0" w:noHBand="0" w:noVBand="1"/>
      </w:tblPr>
      <w:tblGrid>
        <w:gridCol w:w="1230"/>
        <w:gridCol w:w="1212"/>
        <w:gridCol w:w="1688"/>
        <w:gridCol w:w="1766"/>
        <w:gridCol w:w="1688"/>
        <w:gridCol w:w="1766"/>
      </w:tblGrid>
      <w:tr w:rsidR="009C0904" w:rsidRPr="00640D01" w14:paraId="69FBDF2D" w14:textId="77777777" w:rsidTr="00446FEB">
        <w:trPr>
          <w:trHeight w:val="317"/>
          <w:tblHeader/>
        </w:trPr>
        <w:tc>
          <w:tcPr>
            <w:tcW w:w="1230" w:type="dxa"/>
            <w:tcBorders>
              <w:right w:val="single" w:sz="4" w:space="0" w:color="FFFFFF" w:themeColor="background1"/>
            </w:tcBorders>
            <w:shd w:val="clear" w:color="auto" w:fill="002060"/>
            <w:vAlign w:val="center"/>
          </w:tcPr>
          <w:p w14:paraId="17327A07" w14:textId="77777777" w:rsidR="009C0904" w:rsidRPr="00640D01" w:rsidRDefault="009C0904" w:rsidP="00446FEB">
            <w:pPr>
              <w:pStyle w:val="TableHeader"/>
            </w:pPr>
            <w:r w:rsidRPr="00640D01">
              <w:t>Analysis Year</w:t>
            </w:r>
          </w:p>
        </w:tc>
        <w:tc>
          <w:tcPr>
            <w:tcW w:w="1212" w:type="dxa"/>
            <w:tcBorders>
              <w:left w:val="single" w:sz="4" w:space="0" w:color="FFFFFF" w:themeColor="background1"/>
              <w:right w:val="single" w:sz="4" w:space="0" w:color="FFFFFF" w:themeColor="background1"/>
            </w:tcBorders>
            <w:shd w:val="clear" w:color="auto" w:fill="002060"/>
            <w:vAlign w:val="center"/>
          </w:tcPr>
          <w:p w14:paraId="5037FDBA" w14:textId="33373C67" w:rsidR="009C0904" w:rsidRPr="00640D01" w:rsidRDefault="009C0904" w:rsidP="00446FEB">
            <w:pPr>
              <w:pStyle w:val="TableHeader"/>
            </w:pPr>
            <w:r w:rsidRPr="00640D01">
              <w:t>Total Vehicle Miles of Travel</w:t>
            </w:r>
          </w:p>
        </w:tc>
        <w:tc>
          <w:tcPr>
            <w:tcW w:w="1688" w:type="dxa"/>
            <w:tcBorders>
              <w:left w:val="single" w:sz="4" w:space="0" w:color="FFFFFF" w:themeColor="background1"/>
              <w:right w:val="single" w:sz="4" w:space="0" w:color="FFFFFF" w:themeColor="background1"/>
            </w:tcBorders>
            <w:shd w:val="clear" w:color="auto" w:fill="002060"/>
            <w:vAlign w:val="center"/>
          </w:tcPr>
          <w:p w14:paraId="06800B6E" w14:textId="6B3AFCE6" w:rsidR="009C0904" w:rsidRPr="00640D01" w:rsidRDefault="009C0904" w:rsidP="00446FEB">
            <w:pPr>
              <w:pStyle w:val="TableHeader"/>
            </w:pPr>
            <w:r w:rsidRPr="00640D01">
              <w:t xml:space="preserve">NOx Build (Action) </w:t>
            </w:r>
            <w:r w:rsidR="008E46DF" w:rsidRPr="00640D01">
              <w:t>I</w:t>
            </w:r>
            <w:r w:rsidRPr="00640D01">
              <w:t>ncluding CMAQ (</w:t>
            </w:r>
            <w:r w:rsidR="008E46DF" w:rsidRPr="00640D01">
              <w:t>Tons/Day</w:t>
            </w:r>
            <w:r w:rsidRPr="00640D01">
              <w:t>)</w:t>
            </w:r>
          </w:p>
        </w:tc>
        <w:tc>
          <w:tcPr>
            <w:tcW w:w="1766" w:type="dxa"/>
            <w:tcBorders>
              <w:left w:val="single" w:sz="4" w:space="0" w:color="FFFFFF" w:themeColor="background1"/>
              <w:right w:val="single" w:sz="4" w:space="0" w:color="FFFFFF" w:themeColor="background1"/>
            </w:tcBorders>
            <w:shd w:val="clear" w:color="auto" w:fill="002060"/>
            <w:vAlign w:val="center"/>
          </w:tcPr>
          <w:p w14:paraId="794326DE" w14:textId="49E66875" w:rsidR="009C0904" w:rsidRPr="00640D01" w:rsidRDefault="009C0904" w:rsidP="00446FEB">
            <w:pPr>
              <w:pStyle w:val="TableHeader"/>
            </w:pPr>
            <w:r w:rsidRPr="00640D01">
              <w:t>NOx No-</w:t>
            </w:r>
            <w:r w:rsidR="008E46DF" w:rsidRPr="00640D01">
              <w:t>B</w:t>
            </w:r>
            <w:r w:rsidRPr="00640D01">
              <w:t>uild (Baseline) (</w:t>
            </w:r>
            <w:r w:rsidR="008E46DF" w:rsidRPr="00640D01">
              <w:t>Tons/Day)</w:t>
            </w:r>
          </w:p>
        </w:tc>
        <w:tc>
          <w:tcPr>
            <w:tcW w:w="1688" w:type="dxa"/>
            <w:tcBorders>
              <w:left w:val="single" w:sz="4" w:space="0" w:color="FFFFFF" w:themeColor="background1"/>
              <w:right w:val="single" w:sz="4" w:space="0" w:color="FFFFFF" w:themeColor="background1"/>
            </w:tcBorders>
            <w:shd w:val="clear" w:color="auto" w:fill="002060"/>
            <w:vAlign w:val="center"/>
          </w:tcPr>
          <w:p w14:paraId="2036FD6C" w14:textId="732EFF02" w:rsidR="009C0904" w:rsidRPr="00640D01" w:rsidRDefault="009C0904" w:rsidP="00446FEB">
            <w:pPr>
              <w:pStyle w:val="TableHeader"/>
            </w:pPr>
            <w:r w:rsidRPr="00640D01">
              <w:t xml:space="preserve">VOC Build (Action) </w:t>
            </w:r>
            <w:r w:rsidR="008E46DF" w:rsidRPr="00640D01">
              <w:t>I</w:t>
            </w:r>
            <w:r w:rsidRPr="00640D01">
              <w:t>ncluding CMAQ (</w:t>
            </w:r>
            <w:r w:rsidR="008E46DF" w:rsidRPr="00640D01">
              <w:t>Tons/Day</w:t>
            </w:r>
            <w:r w:rsidRPr="00640D01">
              <w:t>)</w:t>
            </w:r>
          </w:p>
        </w:tc>
        <w:tc>
          <w:tcPr>
            <w:tcW w:w="1766" w:type="dxa"/>
            <w:tcBorders>
              <w:left w:val="single" w:sz="4" w:space="0" w:color="FFFFFF" w:themeColor="background1"/>
            </w:tcBorders>
            <w:shd w:val="clear" w:color="auto" w:fill="002060"/>
            <w:vAlign w:val="center"/>
          </w:tcPr>
          <w:p w14:paraId="78A4EBED" w14:textId="5556118B" w:rsidR="009C0904" w:rsidRPr="00640D01" w:rsidRDefault="009C0904" w:rsidP="00446FEB">
            <w:pPr>
              <w:pStyle w:val="TableHeader"/>
            </w:pPr>
            <w:r w:rsidRPr="00640D01">
              <w:t>VOC No-</w:t>
            </w:r>
            <w:r w:rsidR="008E46DF" w:rsidRPr="00640D01">
              <w:t>B</w:t>
            </w:r>
            <w:r w:rsidRPr="00640D01">
              <w:t>uild (Baseline) (</w:t>
            </w:r>
            <w:r w:rsidR="008E46DF" w:rsidRPr="00640D01">
              <w:t>Tons/Day</w:t>
            </w:r>
            <w:r w:rsidRPr="00640D01">
              <w:t>)</w:t>
            </w:r>
          </w:p>
        </w:tc>
      </w:tr>
      <w:tr w:rsidR="009C0904" w:rsidRPr="00640D01" w14:paraId="3644E26B" w14:textId="77777777" w:rsidTr="00446FEB">
        <w:trPr>
          <w:trHeight w:val="317"/>
        </w:trPr>
        <w:tc>
          <w:tcPr>
            <w:tcW w:w="1230" w:type="dxa"/>
            <w:vAlign w:val="center"/>
          </w:tcPr>
          <w:p w14:paraId="7EADB9C1" w14:textId="77777777" w:rsidR="009C0904" w:rsidRPr="00640D01" w:rsidRDefault="009C0904" w:rsidP="00446FEB">
            <w:pPr>
              <w:pStyle w:val="TableText"/>
            </w:pPr>
          </w:p>
        </w:tc>
        <w:tc>
          <w:tcPr>
            <w:tcW w:w="1212" w:type="dxa"/>
            <w:vAlign w:val="center"/>
          </w:tcPr>
          <w:p w14:paraId="338F00BD" w14:textId="77777777" w:rsidR="009C0904" w:rsidRPr="00640D01" w:rsidRDefault="009C0904" w:rsidP="00446FEB">
            <w:pPr>
              <w:pStyle w:val="TableText"/>
            </w:pPr>
          </w:p>
        </w:tc>
        <w:tc>
          <w:tcPr>
            <w:tcW w:w="1688" w:type="dxa"/>
            <w:vAlign w:val="center"/>
          </w:tcPr>
          <w:p w14:paraId="69BC1D58" w14:textId="38125D38" w:rsidR="009C0904" w:rsidRPr="00640D01" w:rsidRDefault="009C0904" w:rsidP="00446FEB">
            <w:pPr>
              <w:pStyle w:val="TableText"/>
            </w:pPr>
          </w:p>
        </w:tc>
        <w:tc>
          <w:tcPr>
            <w:tcW w:w="1766" w:type="dxa"/>
            <w:vAlign w:val="center"/>
          </w:tcPr>
          <w:p w14:paraId="70BE9919" w14:textId="77777777" w:rsidR="009C0904" w:rsidRPr="00640D01" w:rsidRDefault="009C0904" w:rsidP="00446FEB">
            <w:pPr>
              <w:pStyle w:val="TableText"/>
            </w:pPr>
          </w:p>
        </w:tc>
        <w:tc>
          <w:tcPr>
            <w:tcW w:w="1688" w:type="dxa"/>
            <w:vAlign w:val="center"/>
          </w:tcPr>
          <w:p w14:paraId="5B045602" w14:textId="77777777" w:rsidR="009C0904" w:rsidRPr="00640D01" w:rsidRDefault="009C0904" w:rsidP="00446FEB">
            <w:pPr>
              <w:pStyle w:val="TableText"/>
            </w:pPr>
          </w:p>
        </w:tc>
        <w:tc>
          <w:tcPr>
            <w:tcW w:w="1766" w:type="dxa"/>
            <w:vAlign w:val="center"/>
          </w:tcPr>
          <w:p w14:paraId="5064635E" w14:textId="77777777" w:rsidR="009C0904" w:rsidRPr="00640D01" w:rsidRDefault="009C0904" w:rsidP="00446FEB">
            <w:pPr>
              <w:pStyle w:val="TableText"/>
            </w:pPr>
          </w:p>
        </w:tc>
      </w:tr>
      <w:tr w:rsidR="00E41DD3" w:rsidRPr="00640D01" w14:paraId="21900176" w14:textId="77777777" w:rsidTr="00446FEB">
        <w:trPr>
          <w:trHeight w:val="317"/>
        </w:trPr>
        <w:tc>
          <w:tcPr>
            <w:tcW w:w="1230" w:type="dxa"/>
            <w:vAlign w:val="center"/>
          </w:tcPr>
          <w:p w14:paraId="11BF4F1C" w14:textId="77777777" w:rsidR="00E41DD3" w:rsidRPr="00640D01" w:rsidRDefault="00E41DD3" w:rsidP="00446FEB">
            <w:pPr>
              <w:pStyle w:val="TableText"/>
            </w:pPr>
          </w:p>
        </w:tc>
        <w:tc>
          <w:tcPr>
            <w:tcW w:w="1212" w:type="dxa"/>
            <w:vAlign w:val="center"/>
          </w:tcPr>
          <w:p w14:paraId="734AA442" w14:textId="77777777" w:rsidR="00E41DD3" w:rsidRPr="00640D01" w:rsidRDefault="00E41DD3" w:rsidP="00446FEB">
            <w:pPr>
              <w:pStyle w:val="TableText"/>
            </w:pPr>
          </w:p>
        </w:tc>
        <w:tc>
          <w:tcPr>
            <w:tcW w:w="1688" w:type="dxa"/>
            <w:vAlign w:val="center"/>
          </w:tcPr>
          <w:p w14:paraId="118C75EF" w14:textId="77777777" w:rsidR="00E41DD3" w:rsidRPr="00640D01" w:rsidRDefault="00E41DD3" w:rsidP="00446FEB">
            <w:pPr>
              <w:pStyle w:val="TableText"/>
            </w:pPr>
          </w:p>
        </w:tc>
        <w:tc>
          <w:tcPr>
            <w:tcW w:w="1766" w:type="dxa"/>
            <w:vAlign w:val="center"/>
          </w:tcPr>
          <w:p w14:paraId="54951256" w14:textId="77777777" w:rsidR="00E41DD3" w:rsidRPr="00640D01" w:rsidRDefault="00E41DD3" w:rsidP="00446FEB">
            <w:pPr>
              <w:pStyle w:val="TableText"/>
            </w:pPr>
          </w:p>
        </w:tc>
        <w:tc>
          <w:tcPr>
            <w:tcW w:w="1688" w:type="dxa"/>
            <w:vAlign w:val="center"/>
          </w:tcPr>
          <w:p w14:paraId="75ED5624" w14:textId="77777777" w:rsidR="00E41DD3" w:rsidRPr="00640D01" w:rsidRDefault="00E41DD3" w:rsidP="00446FEB">
            <w:pPr>
              <w:pStyle w:val="TableText"/>
            </w:pPr>
          </w:p>
        </w:tc>
        <w:tc>
          <w:tcPr>
            <w:tcW w:w="1766" w:type="dxa"/>
            <w:vAlign w:val="center"/>
          </w:tcPr>
          <w:p w14:paraId="2D0E884F" w14:textId="77777777" w:rsidR="00E41DD3" w:rsidRPr="00640D01" w:rsidRDefault="00E41DD3" w:rsidP="00446FEB">
            <w:pPr>
              <w:pStyle w:val="TableText"/>
            </w:pPr>
          </w:p>
        </w:tc>
      </w:tr>
      <w:tr w:rsidR="00E41DD3" w:rsidRPr="00640D01" w14:paraId="2DB02314" w14:textId="77777777" w:rsidTr="00446FEB">
        <w:trPr>
          <w:trHeight w:val="317"/>
        </w:trPr>
        <w:tc>
          <w:tcPr>
            <w:tcW w:w="1230" w:type="dxa"/>
            <w:vAlign w:val="center"/>
          </w:tcPr>
          <w:p w14:paraId="2CC015EB" w14:textId="77777777" w:rsidR="00E41DD3" w:rsidRPr="00640D01" w:rsidRDefault="00E41DD3" w:rsidP="00446FEB">
            <w:pPr>
              <w:pStyle w:val="TableText"/>
            </w:pPr>
          </w:p>
        </w:tc>
        <w:tc>
          <w:tcPr>
            <w:tcW w:w="1212" w:type="dxa"/>
            <w:vAlign w:val="center"/>
          </w:tcPr>
          <w:p w14:paraId="6015AD57" w14:textId="77777777" w:rsidR="00E41DD3" w:rsidRPr="00640D01" w:rsidRDefault="00E41DD3" w:rsidP="00446FEB">
            <w:pPr>
              <w:pStyle w:val="TableText"/>
            </w:pPr>
          </w:p>
        </w:tc>
        <w:tc>
          <w:tcPr>
            <w:tcW w:w="1688" w:type="dxa"/>
            <w:vAlign w:val="center"/>
          </w:tcPr>
          <w:p w14:paraId="3AA7CA15" w14:textId="77777777" w:rsidR="00E41DD3" w:rsidRPr="00640D01" w:rsidRDefault="00E41DD3" w:rsidP="00446FEB">
            <w:pPr>
              <w:pStyle w:val="TableText"/>
            </w:pPr>
          </w:p>
        </w:tc>
        <w:tc>
          <w:tcPr>
            <w:tcW w:w="1766" w:type="dxa"/>
            <w:vAlign w:val="center"/>
          </w:tcPr>
          <w:p w14:paraId="52005B8C" w14:textId="77777777" w:rsidR="00E41DD3" w:rsidRPr="00640D01" w:rsidRDefault="00E41DD3" w:rsidP="00446FEB">
            <w:pPr>
              <w:pStyle w:val="TableText"/>
            </w:pPr>
          </w:p>
        </w:tc>
        <w:tc>
          <w:tcPr>
            <w:tcW w:w="1688" w:type="dxa"/>
            <w:vAlign w:val="center"/>
          </w:tcPr>
          <w:p w14:paraId="72C4F47B" w14:textId="77777777" w:rsidR="00E41DD3" w:rsidRPr="00640D01" w:rsidRDefault="00E41DD3" w:rsidP="00446FEB">
            <w:pPr>
              <w:pStyle w:val="TableText"/>
            </w:pPr>
          </w:p>
        </w:tc>
        <w:tc>
          <w:tcPr>
            <w:tcW w:w="1766" w:type="dxa"/>
            <w:vAlign w:val="center"/>
          </w:tcPr>
          <w:p w14:paraId="08E3FEBC" w14:textId="77777777" w:rsidR="00E41DD3" w:rsidRPr="00640D01" w:rsidRDefault="00E41DD3" w:rsidP="00446FEB">
            <w:pPr>
              <w:pStyle w:val="TableText"/>
            </w:pPr>
          </w:p>
        </w:tc>
      </w:tr>
      <w:tr w:rsidR="009C0904" w:rsidRPr="00640D01" w14:paraId="3DBA5D88" w14:textId="77777777" w:rsidTr="00446FEB">
        <w:trPr>
          <w:trHeight w:val="317"/>
        </w:trPr>
        <w:tc>
          <w:tcPr>
            <w:tcW w:w="1230" w:type="dxa"/>
            <w:vAlign w:val="center"/>
          </w:tcPr>
          <w:p w14:paraId="0BAEF179" w14:textId="77777777" w:rsidR="009C0904" w:rsidRPr="00640D01" w:rsidRDefault="009C0904" w:rsidP="00446FEB">
            <w:pPr>
              <w:pStyle w:val="TableText"/>
            </w:pPr>
          </w:p>
        </w:tc>
        <w:tc>
          <w:tcPr>
            <w:tcW w:w="1212" w:type="dxa"/>
            <w:vAlign w:val="center"/>
          </w:tcPr>
          <w:p w14:paraId="6F54BB55" w14:textId="77777777" w:rsidR="009C0904" w:rsidRPr="00640D01" w:rsidRDefault="009C0904" w:rsidP="00446FEB">
            <w:pPr>
              <w:pStyle w:val="TableText"/>
            </w:pPr>
          </w:p>
        </w:tc>
        <w:tc>
          <w:tcPr>
            <w:tcW w:w="1688" w:type="dxa"/>
            <w:vAlign w:val="center"/>
          </w:tcPr>
          <w:p w14:paraId="51727730" w14:textId="19AF2615" w:rsidR="009C0904" w:rsidRPr="00640D01" w:rsidRDefault="009C0904" w:rsidP="00446FEB">
            <w:pPr>
              <w:pStyle w:val="TableText"/>
            </w:pPr>
          </w:p>
        </w:tc>
        <w:tc>
          <w:tcPr>
            <w:tcW w:w="1766" w:type="dxa"/>
            <w:vAlign w:val="center"/>
          </w:tcPr>
          <w:p w14:paraId="2F534A2D" w14:textId="77777777" w:rsidR="009C0904" w:rsidRPr="00640D01" w:rsidRDefault="009C0904" w:rsidP="00446FEB">
            <w:pPr>
              <w:pStyle w:val="TableText"/>
            </w:pPr>
          </w:p>
        </w:tc>
        <w:tc>
          <w:tcPr>
            <w:tcW w:w="1688" w:type="dxa"/>
            <w:vAlign w:val="center"/>
          </w:tcPr>
          <w:p w14:paraId="29515CBE" w14:textId="77777777" w:rsidR="009C0904" w:rsidRPr="00640D01" w:rsidRDefault="009C0904" w:rsidP="00446FEB">
            <w:pPr>
              <w:pStyle w:val="TableText"/>
            </w:pPr>
          </w:p>
        </w:tc>
        <w:tc>
          <w:tcPr>
            <w:tcW w:w="1766" w:type="dxa"/>
            <w:vAlign w:val="center"/>
          </w:tcPr>
          <w:p w14:paraId="315FA7F0" w14:textId="77777777" w:rsidR="009C0904" w:rsidRPr="00640D01" w:rsidRDefault="009C0904" w:rsidP="00446FEB">
            <w:pPr>
              <w:pStyle w:val="TableText"/>
            </w:pPr>
          </w:p>
        </w:tc>
      </w:tr>
    </w:tbl>
    <w:p w14:paraId="7A3A4F85" w14:textId="77777777" w:rsidR="00BD451E" w:rsidRPr="00640D01" w:rsidRDefault="00BD451E" w:rsidP="00176A31">
      <w:pPr>
        <w:spacing w:after="0" w:line="240" w:lineRule="auto"/>
      </w:pPr>
    </w:p>
    <w:p w14:paraId="6656E2AF" w14:textId="0B49367B" w:rsidR="000329F5" w:rsidRPr="00640D01" w:rsidRDefault="00707365" w:rsidP="00446FEB">
      <w:pPr>
        <w:pStyle w:val="BodyText"/>
      </w:pPr>
      <w:r w:rsidRPr="00640D01">
        <w:t>The r</w:t>
      </w:r>
      <w:r w:rsidR="00CC56D1" w:rsidRPr="00640D01">
        <w:t xml:space="preserve">esults of the conformity determination demonstrate </w:t>
      </w:r>
      <w:r w:rsidR="00684C90" w:rsidRPr="00640D01">
        <w:t xml:space="preserve">that </w:t>
      </w:r>
      <w:r w:rsidR="00D231FC" w:rsidRPr="00640D01">
        <w:rPr>
          <w:color w:val="7030A0"/>
        </w:rPr>
        <w:fldChar w:fldCharType="begin"/>
      </w:r>
      <w:r w:rsidR="00D231FC" w:rsidRPr="00640D01">
        <w:instrText xml:space="preserve"> REF MTPRTP \h </w:instrText>
      </w:r>
      <w:r w:rsidR="00D231FC" w:rsidRPr="00640D01">
        <w:rPr>
          <w:color w:val="7030A0"/>
        </w:rPr>
      </w:r>
      <w:r w:rsidR="00D231FC" w:rsidRPr="00640D01">
        <w:rPr>
          <w:color w:val="7030A0"/>
        </w:rPr>
        <w:fldChar w:fldCharType="separate"/>
      </w:r>
      <w:r w:rsidR="00514311" w:rsidRPr="00640D01">
        <w:rPr>
          <w:b/>
          <w:bCs/>
          <w:color w:val="C00000"/>
        </w:rPr>
        <w:t>[Name of RTP/MTP]</w:t>
      </w:r>
      <w:r w:rsidR="00D231FC" w:rsidRPr="00640D01">
        <w:rPr>
          <w:color w:val="7030A0"/>
        </w:rPr>
        <w:fldChar w:fldCharType="end"/>
      </w:r>
      <w:r w:rsidR="00703D66" w:rsidRPr="00640D01">
        <w:rPr>
          <w:color w:val="7030A0"/>
        </w:rPr>
        <w:t xml:space="preserve"> </w:t>
      </w:r>
      <w:r w:rsidR="00D231FC" w:rsidRPr="00640D01">
        <w:t xml:space="preserve">and </w:t>
      </w:r>
      <w:r w:rsidR="00D231FC" w:rsidRPr="00640D01">
        <w:fldChar w:fldCharType="begin"/>
      </w:r>
      <w:r w:rsidR="00D231FC" w:rsidRPr="00640D01">
        <w:instrText xml:space="preserve"> REF TIPName \h </w:instrText>
      </w:r>
      <w:r w:rsidR="00D231FC" w:rsidRPr="00640D01">
        <w:fldChar w:fldCharType="separate"/>
      </w:r>
      <w:r w:rsidR="00514311" w:rsidRPr="00640D01">
        <w:rPr>
          <w:b/>
          <w:bCs/>
          <w:color w:val="C00000"/>
        </w:rPr>
        <w:t>[Name of TIP]</w:t>
      </w:r>
      <w:r w:rsidR="00D231FC" w:rsidRPr="00640D01">
        <w:fldChar w:fldCharType="end"/>
      </w:r>
      <w:r w:rsidR="00703D66" w:rsidRPr="00640D01">
        <w:t xml:space="preserve"> </w:t>
      </w:r>
      <w:r w:rsidRPr="00640D01">
        <w:t xml:space="preserve">meet the requirements of the air quality SIP for the </w:t>
      </w:r>
      <w:r w:rsidR="00B82961" w:rsidRPr="00640D01">
        <w:rPr>
          <w:b/>
          <w:bCs/>
          <w:color w:val="C00000"/>
        </w:rPr>
        <w:fldChar w:fldCharType="begin"/>
      </w:r>
      <w:r w:rsidR="00B82961" w:rsidRPr="00640D01">
        <w:instrText xml:space="preserve"> REF RegionName \h </w:instrText>
      </w:r>
      <w:r w:rsidR="00B82961" w:rsidRPr="00640D01">
        <w:rPr>
          <w:b/>
          <w:bCs/>
          <w:color w:val="C00000"/>
        </w:rPr>
      </w:r>
      <w:r w:rsidR="00B82961" w:rsidRPr="00640D01">
        <w:rPr>
          <w:b/>
          <w:bCs/>
          <w:color w:val="C00000"/>
        </w:rPr>
        <w:fldChar w:fldCharType="separate"/>
      </w:r>
      <w:sdt>
        <w:sdtPr>
          <w:rPr>
            <w:b/>
            <w:bCs/>
            <w:color w:val="C00000"/>
          </w:rPr>
          <w:alias w:val="Region Name"/>
          <w:tag w:val="Region Name"/>
          <w:id w:val="929628756"/>
          <w:placeholder>
            <w:docPart w:val="0DB54F8A248C4946BE1D7511F91F6475"/>
          </w:placeholder>
          <w:dropDownList>
            <w:listItem w:displayText="[Region name]" w:value="[Region name]"/>
            <w:listItem w:displayText="Beaumont-Port Arthur" w:value="Beaumont-Port Arthur"/>
            <w:listItem w:displayText="Dallas-Fort Worth" w:value="Dallas-Fort Worth"/>
            <w:listItem w:displayText="El Paso" w:value="El Paso"/>
            <w:listItem w:displayText="Houston-Galveston-Brazoria" w:value="Houston-Galveston-Brazoria"/>
            <w:listItem w:displayText="San Antonio" w:value="San Antonio"/>
          </w:dropDownList>
        </w:sdtPr>
        <w:sdtContent>
          <w:r w:rsidR="00514311">
            <w:rPr>
              <w:b/>
              <w:bCs/>
              <w:color w:val="C00000"/>
            </w:rPr>
            <w:t>[Region name]</w:t>
          </w:r>
        </w:sdtContent>
      </w:sdt>
      <w:r w:rsidR="00B82961" w:rsidRPr="00640D01">
        <w:rPr>
          <w:b/>
          <w:bCs/>
          <w:color w:val="C00000"/>
        </w:rPr>
        <w:fldChar w:fldCharType="end"/>
      </w:r>
      <w:r w:rsidR="00514311">
        <w:rPr>
          <w:b/>
          <w:bCs/>
          <w:color w:val="C00000"/>
        </w:rPr>
        <w:t xml:space="preserve"> </w:t>
      </w:r>
      <w:r w:rsidR="001137FC" w:rsidRPr="00640D01">
        <w:t xml:space="preserve">nonattainment area </w:t>
      </w:r>
      <w:r w:rsidRPr="00640D01">
        <w:t xml:space="preserve">and are </w:t>
      </w:r>
      <w:r w:rsidR="00684C90" w:rsidRPr="00640D01">
        <w:t>per</w:t>
      </w:r>
      <w:r w:rsidRPr="00640D01">
        <w:t xml:space="preserve"> the </w:t>
      </w:r>
      <w:r w:rsidR="00327D7B" w:rsidRPr="00640D01">
        <w:t>CAA</w:t>
      </w:r>
      <w:r w:rsidR="008E46DF" w:rsidRPr="00640D01">
        <w:t>A</w:t>
      </w:r>
      <w:r w:rsidRPr="00640D01">
        <w:t xml:space="preserve"> (</w:t>
      </w:r>
      <w:r w:rsidR="008E46DF" w:rsidRPr="00640D01">
        <w:t xml:space="preserve">Title </w:t>
      </w:r>
      <w:r w:rsidRPr="00640D01">
        <w:t xml:space="preserve">42 </w:t>
      </w:r>
      <w:r w:rsidR="008E46DF" w:rsidRPr="00640D01">
        <w:t>U.S. Code</w:t>
      </w:r>
      <w:r w:rsidR="00B23102" w:rsidRPr="00640D01">
        <w:t xml:space="preserve"> [USC]</w:t>
      </w:r>
      <w:r w:rsidR="008E46DF" w:rsidRPr="00640D01">
        <w:t>, Parts</w:t>
      </w:r>
      <w:r w:rsidRPr="00640D01">
        <w:t xml:space="preserve"> 7504, 7506 </w:t>
      </w:r>
      <w:r w:rsidR="008E46DF" w:rsidRPr="00640D01">
        <w:t>[</w:t>
      </w:r>
      <w:r w:rsidRPr="00640D01">
        <w:t>c</w:t>
      </w:r>
      <w:r w:rsidR="008E46DF" w:rsidRPr="00640D01">
        <w:t xml:space="preserve">], </w:t>
      </w:r>
      <w:r w:rsidRPr="00640D01">
        <w:t xml:space="preserve">and </w:t>
      </w:r>
      <w:r w:rsidR="008E46DF" w:rsidRPr="00640D01">
        <w:t>7506</w:t>
      </w:r>
      <w:r w:rsidR="008E46DF" w:rsidRPr="00640D01" w:rsidDel="008E46DF">
        <w:t xml:space="preserve"> </w:t>
      </w:r>
      <w:r w:rsidR="008E46DF" w:rsidRPr="00640D01">
        <w:t>[</w:t>
      </w:r>
      <w:r w:rsidRPr="00640D01">
        <w:t>d</w:t>
      </w:r>
      <w:r w:rsidR="008E46DF" w:rsidRPr="00640D01">
        <w:t xml:space="preserve">]), </w:t>
      </w:r>
      <w:r w:rsidRPr="00640D01">
        <w:t>as amended on November 15, 1990, and the final conformity rule (40 CFR 51 and 93).</w:t>
      </w:r>
    </w:p>
    <w:p w14:paraId="48D6339A" w14:textId="77777777" w:rsidR="00033597" w:rsidRPr="00640D01" w:rsidRDefault="00033597">
      <w:pPr>
        <w:spacing w:after="160" w:line="259" w:lineRule="auto"/>
        <w:rPr>
          <w:rFonts w:ascii="Times New Roman Bold" w:eastAsiaTheme="majorEastAsia" w:hAnsi="Times New Roman Bold" w:cstheme="majorBidi"/>
          <w:b/>
          <w:caps/>
          <w:szCs w:val="32"/>
        </w:rPr>
      </w:pPr>
      <w:r w:rsidRPr="00640D01">
        <w:br w:type="page"/>
      </w:r>
    </w:p>
    <w:p w14:paraId="581FF564" w14:textId="29B611D0" w:rsidR="00017A79" w:rsidRPr="00640D01" w:rsidRDefault="00017A79" w:rsidP="00861F03">
      <w:pPr>
        <w:pStyle w:val="Heading1"/>
      </w:pPr>
      <w:bookmarkStart w:id="22" w:name="_Toc190242681"/>
      <w:r w:rsidRPr="00640D01">
        <w:lastRenderedPageBreak/>
        <w:t>Transportation Conformity Requirements</w:t>
      </w:r>
      <w:bookmarkEnd w:id="22"/>
    </w:p>
    <w:p w14:paraId="3D03454E" w14:textId="17701FF4" w:rsidR="00D92D0A" w:rsidRPr="00640D01" w:rsidRDefault="00D92D0A" w:rsidP="00B012D5">
      <w:pPr>
        <w:pStyle w:val="Heading2"/>
      </w:pPr>
      <w:bookmarkStart w:id="23" w:name="_Toc190242682"/>
      <w:r w:rsidRPr="00640D01">
        <w:t xml:space="preserve">What </w:t>
      </w:r>
      <w:r w:rsidR="008753A7" w:rsidRPr="00640D01">
        <w:t>I</w:t>
      </w:r>
      <w:r w:rsidRPr="00640D01">
        <w:t>s Transportation Conformity?</w:t>
      </w:r>
      <w:bookmarkEnd w:id="23"/>
    </w:p>
    <w:p w14:paraId="65A6EBA5" w14:textId="46E5B479" w:rsidR="00D829EB" w:rsidRPr="00640D01" w:rsidRDefault="00AF2841" w:rsidP="00C33926">
      <w:pPr>
        <w:pStyle w:val="BodyText"/>
      </w:pPr>
      <w:r w:rsidRPr="00640D01">
        <w:t>As mandated under CAA</w:t>
      </w:r>
      <w:r w:rsidR="00940AE6" w:rsidRPr="00640D01">
        <w:t>A</w:t>
      </w:r>
      <w:r w:rsidRPr="00640D01">
        <w:t xml:space="preserve"> Section 176(c), transportation conformity ensures that federally supported transportation activities align with and conform to the objectives outlined in </w:t>
      </w:r>
      <w:r w:rsidR="005347E4" w:rsidRPr="00640D01">
        <w:t>a</w:t>
      </w:r>
      <w:r w:rsidRPr="00640D01">
        <w:t xml:space="preserve"> </w:t>
      </w:r>
      <w:r w:rsidR="00940AE6" w:rsidRPr="00640D01">
        <w:t xml:space="preserve">state’s </w:t>
      </w:r>
      <w:r w:rsidRPr="00640D01">
        <w:t xml:space="preserve">SIP. </w:t>
      </w:r>
      <w:r w:rsidR="00D829EB" w:rsidRPr="00640D01">
        <w:t>A</w:t>
      </w:r>
      <w:r w:rsidR="00940AE6" w:rsidRPr="00640D01">
        <w:t>n</w:t>
      </w:r>
      <w:r w:rsidR="00D829EB" w:rsidRPr="00640D01">
        <w:t xml:space="preserve"> SIP serves as the state air quality blueprint for meeting the NAAQS. </w:t>
      </w:r>
      <w:r w:rsidR="00940AE6" w:rsidRPr="00640D01">
        <w:t xml:space="preserve">The SIP </w:t>
      </w:r>
      <w:r w:rsidR="00D829EB" w:rsidRPr="00640D01">
        <w:t xml:space="preserve">consists of a compilation of legally enforceable rules and regulations crafted by a state or local air quality agency. The governor of the state submits this plan to EPA for approval. The primary goal of a SIP is to enhance air quality by achieving, progressing toward, or maintaining compliance with the NAAQS. Each SIP specifies emissions reductions for every pollutant or precursor, categorized by source type, including on-road motor vehicles, non-road equipment and vehicles, stationary sources, and area sources. </w:t>
      </w:r>
    </w:p>
    <w:p w14:paraId="63A245FF" w14:textId="754960EB" w:rsidR="0077026B" w:rsidRPr="00640D01" w:rsidRDefault="00AF2841" w:rsidP="00C33926">
      <w:pPr>
        <w:pStyle w:val="BodyText"/>
      </w:pPr>
      <w:r w:rsidRPr="00640D01">
        <w:t xml:space="preserve">Before </w:t>
      </w:r>
      <w:r w:rsidR="00EE6563" w:rsidRPr="00640D01">
        <w:t>an</w:t>
      </w:r>
      <w:r w:rsidRPr="00640D01">
        <w:t xml:space="preserve"> </w:t>
      </w:r>
      <w:r w:rsidR="00ED518A" w:rsidRPr="00640D01">
        <w:t xml:space="preserve">RTP/MTP </w:t>
      </w:r>
      <w:r w:rsidRPr="00640D01">
        <w:t>or TIP can be adopted, approved, or accepted in nonattainment areas, MPOs and the U</w:t>
      </w:r>
      <w:r w:rsidR="00940AE6" w:rsidRPr="00640D01">
        <w:t>.</w:t>
      </w:r>
      <w:r w:rsidRPr="00640D01">
        <w:t>S</w:t>
      </w:r>
      <w:r w:rsidR="00940AE6" w:rsidRPr="00640D01">
        <w:t>.</w:t>
      </w:r>
      <w:r w:rsidRPr="00640D01">
        <w:t xml:space="preserve"> Department of Transportation (DOT) must make conformity determinations on these documents. </w:t>
      </w:r>
      <w:r w:rsidR="0077026B" w:rsidRPr="00640D01">
        <w:t xml:space="preserve">As described in Section 176(c)(1) of the </w:t>
      </w:r>
      <w:r w:rsidR="00A44E11" w:rsidRPr="00640D01">
        <w:t>CAAA</w:t>
      </w:r>
      <w:r w:rsidR="0077026B" w:rsidRPr="00640D01">
        <w:t xml:space="preserve">, transportation conformity is granted when the following conditions are met: </w:t>
      </w:r>
    </w:p>
    <w:p w14:paraId="15D4DAEE" w14:textId="1B1804D8" w:rsidR="0077026B" w:rsidRPr="00640D01" w:rsidRDefault="00940AE6" w:rsidP="00C33926">
      <w:pPr>
        <w:pStyle w:val="ListBulletLetters"/>
      </w:pPr>
      <w:r w:rsidRPr="00640D01">
        <w:t>C</w:t>
      </w:r>
      <w:r w:rsidR="0077026B" w:rsidRPr="00640D01">
        <w:t>onformity to an implementation plan’s purpose of eliminating or reducing the severity and number of violations of the national ambient air quality standards and achieving expeditious attainment of such standards.</w:t>
      </w:r>
    </w:p>
    <w:p w14:paraId="4EC526BB" w14:textId="037E947C" w:rsidR="0077026B" w:rsidRPr="00640D01" w:rsidRDefault="00940AE6" w:rsidP="00C33926">
      <w:pPr>
        <w:pStyle w:val="ListBulletLetters"/>
        <w:spacing w:after="0"/>
        <w:ind w:left="907" w:hanging="547"/>
      </w:pPr>
      <w:r w:rsidRPr="00640D01">
        <w:t>T</w:t>
      </w:r>
      <w:r w:rsidR="0077026B" w:rsidRPr="00640D01">
        <w:t xml:space="preserve">hat such activities will not: </w:t>
      </w:r>
    </w:p>
    <w:p w14:paraId="4863E8B5" w14:textId="2A130D80" w:rsidR="0077026B" w:rsidRPr="00640D01" w:rsidRDefault="00940AE6" w:rsidP="00176A31">
      <w:pPr>
        <w:pStyle w:val="ListBulletroman"/>
        <w:numPr>
          <w:ilvl w:val="0"/>
          <w:numId w:val="61"/>
        </w:numPr>
        <w:ind w:left="1260"/>
      </w:pPr>
      <w:r w:rsidRPr="00640D01">
        <w:t>C</w:t>
      </w:r>
      <w:r w:rsidR="0077026B" w:rsidRPr="00640D01">
        <w:t xml:space="preserve">ause or contribute to any new violation of any standards in any area; </w:t>
      </w:r>
    </w:p>
    <w:p w14:paraId="188633D3" w14:textId="37F9A0AC" w:rsidR="0077026B" w:rsidRPr="00640D01" w:rsidRDefault="00940AE6" w:rsidP="00176A31">
      <w:pPr>
        <w:pStyle w:val="ListBulletroman"/>
        <w:numPr>
          <w:ilvl w:val="0"/>
          <w:numId w:val="61"/>
        </w:numPr>
        <w:ind w:left="1260"/>
      </w:pPr>
      <w:r w:rsidRPr="00640D01">
        <w:t>I</w:t>
      </w:r>
      <w:r w:rsidR="0077026B" w:rsidRPr="00640D01">
        <w:t xml:space="preserve">ncrease the frequency or severity of any existing violation of any standard in any area; or </w:t>
      </w:r>
    </w:p>
    <w:p w14:paraId="7DB10B5B" w14:textId="7E95B0A9" w:rsidR="0077026B" w:rsidRPr="00640D01" w:rsidRDefault="00940AE6" w:rsidP="00176A31">
      <w:pPr>
        <w:pStyle w:val="ListBulletroman"/>
        <w:numPr>
          <w:ilvl w:val="0"/>
          <w:numId w:val="61"/>
        </w:numPr>
        <w:ind w:left="1260"/>
      </w:pPr>
      <w:r w:rsidRPr="00640D01">
        <w:t>D</w:t>
      </w:r>
      <w:r w:rsidR="0077026B" w:rsidRPr="00640D01">
        <w:t>elay timely attainment of any standard or any required interim emission reductions or other milestones in any area.</w:t>
      </w:r>
    </w:p>
    <w:p w14:paraId="59C9C932" w14:textId="4FA73CDA" w:rsidR="00531C58" w:rsidRPr="00640D01" w:rsidRDefault="00531C58" w:rsidP="00C33926">
      <w:pPr>
        <w:pStyle w:val="BodyText"/>
      </w:pPr>
      <w:r w:rsidRPr="00640D01">
        <w:t xml:space="preserve">A new conformity determination must be performed any time </w:t>
      </w:r>
      <w:r w:rsidR="00EE6563" w:rsidRPr="00640D01">
        <w:t>an</w:t>
      </w:r>
      <w:r w:rsidRPr="00640D01">
        <w:t xml:space="preserve"> </w:t>
      </w:r>
      <w:r w:rsidR="00ED518A" w:rsidRPr="00640D01">
        <w:t xml:space="preserve">RTP/MTP </w:t>
      </w:r>
      <w:r w:rsidRPr="00640D01">
        <w:t xml:space="preserve">is amended in a significant manner, when a region or state’s air quality goals change, and/or every </w:t>
      </w:r>
      <w:r w:rsidR="00940AE6" w:rsidRPr="00640D01">
        <w:t xml:space="preserve">4 </w:t>
      </w:r>
      <w:r w:rsidRPr="00640D01">
        <w:t>years.</w:t>
      </w:r>
    </w:p>
    <w:p w14:paraId="44C221E3" w14:textId="24C2DCF0" w:rsidR="00B012D5" w:rsidRPr="00640D01" w:rsidRDefault="00017A79" w:rsidP="00B012D5">
      <w:pPr>
        <w:pStyle w:val="Heading2"/>
      </w:pPr>
      <w:bookmarkStart w:id="24" w:name="_Toc190242683"/>
      <w:r w:rsidRPr="00640D01">
        <w:t>Conformity Requirements</w:t>
      </w:r>
      <w:bookmarkEnd w:id="24"/>
    </w:p>
    <w:p w14:paraId="097E5F14" w14:textId="6596E508" w:rsidR="00E21CBA" w:rsidRPr="00640D01" w:rsidRDefault="00C82817" w:rsidP="00C33926">
      <w:pPr>
        <w:pStyle w:val="BodyText"/>
      </w:pPr>
      <w:r w:rsidRPr="00640D01">
        <w:t>The CAAA</w:t>
      </w:r>
      <w:r w:rsidR="005E103E" w:rsidRPr="00640D01">
        <w:t xml:space="preserve"> </w:t>
      </w:r>
      <w:r w:rsidRPr="00640D01">
        <w:t>require</w:t>
      </w:r>
      <w:r w:rsidR="00684C90" w:rsidRPr="00640D01">
        <w:t>s</w:t>
      </w:r>
      <w:r w:rsidRPr="00640D01">
        <w:t xml:space="preserve"> transportation plans, programs, and projects in nonattainment and maintenance areas, which are funded or approved by FHWA or FTA, to conform to the MVEBs established in the SIP</w:t>
      </w:r>
      <w:r w:rsidR="003A7E80" w:rsidRPr="00640D01">
        <w:t>, or to satisfy applicable interim emissions tests, absent MVEBs</w:t>
      </w:r>
      <w:r w:rsidRPr="00640D01">
        <w:t xml:space="preserve">. </w:t>
      </w:r>
      <w:r w:rsidR="007B1038" w:rsidRPr="00640D01">
        <w:t xml:space="preserve">A regional emissions analysis is the key analytic component of the </w:t>
      </w:r>
      <w:r w:rsidR="00940AE6" w:rsidRPr="00640D01">
        <w:t xml:space="preserve">transportation conformity </w:t>
      </w:r>
      <w:r w:rsidR="007B1038" w:rsidRPr="00640D01">
        <w:t xml:space="preserve">process. It is conducted to demonstrate </w:t>
      </w:r>
      <w:r w:rsidR="00940AE6" w:rsidRPr="00640D01">
        <w:t>that</w:t>
      </w:r>
      <w:r w:rsidR="00E21CBA" w:rsidRPr="00640D01">
        <w:t>:</w:t>
      </w:r>
    </w:p>
    <w:p w14:paraId="1677F47C" w14:textId="2B0EC184" w:rsidR="008E2ADE" w:rsidRPr="00640D01" w:rsidRDefault="00940AE6" w:rsidP="00176A31">
      <w:pPr>
        <w:pStyle w:val="ListBullet"/>
      </w:pPr>
      <w:r w:rsidRPr="00640D01">
        <w:t xml:space="preserve">Regional emissions from on-road sources do </w:t>
      </w:r>
      <w:r w:rsidR="007B1038" w:rsidRPr="00640D01">
        <w:t>not exceed the established MVEB</w:t>
      </w:r>
      <w:r w:rsidR="003A7E80" w:rsidRPr="00640D01">
        <w:t xml:space="preserve"> or satisfy interim emissions test(s), absent an MVEB</w:t>
      </w:r>
      <w:r w:rsidRPr="00640D01">
        <w:t>.</w:t>
      </w:r>
    </w:p>
    <w:p w14:paraId="0E8A05E9" w14:textId="551BE5B6" w:rsidR="008E2ADE" w:rsidRPr="00640D01" w:rsidRDefault="00940AE6" w:rsidP="00176A31">
      <w:pPr>
        <w:pStyle w:val="ListBullet"/>
      </w:pPr>
      <w:r w:rsidRPr="00640D01">
        <w:t>Regional emissions from on-road sources d</w:t>
      </w:r>
      <w:r w:rsidR="008E2ADE" w:rsidRPr="00640D01">
        <w:t>o not c</w:t>
      </w:r>
      <w:r w:rsidR="007B1038" w:rsidRPr="00640D01">
        <w:t>aus</w:t>
      </w:r>
      <w:r w:rsidR="008E2ADE" w:rsidRPr="00640D01">
        <w:t>e</w:t>
      </w:r>
      <w:r w:rsidR="007B1038" w:rsidRPr="00640D01">
        <w:t xml:space="preserve"> or contribut</w:t>
      </w:r>
      <w:r w:rsidR="008E2ADE" w:rsidRPr="00640D01">
        <w:t>e</w:t>
      </w:r>
      <w:r w:rsidR="007B1038" w:rsidRPr="00640D01">
        <w:t xml:space="preserve"> to violations of EPA</w:t>
      </w:r>
      <w:r w:rsidR="00197C05" w:rsidRPr="00640D01">
        <w:t>’s</w:t>
      </w:r>
      <w:r w:rsidR="007B1038" w:rsidRPr="00640D01">
        <w:t xml:space="preserve"> NAAQS</w:t>
      </w:r>
      <w:r w:rsidRPr="00640D01">
        <w:t>.</w:t>
      </w:r>
      <w:r w:rsidR="007B1038" w:rsidRPr="00640D01">
        <w:t xml:space="preserve"> </w:t>
      </w:r>
    </w:p>
    <w:p w14:paraId="22FBEE4C" w14:textId="7ADDF04B" w:rsidR="00E21CBA" w:rsidRPr="00640D01" w:rsidRDefault="00940AE6" w:rsidP="00176A31">
      <w:pPr>
        <w:pStyle w:val="ListBullet"/>
      </w:pPr>
      <w:r w:rsidRPr="00640D01">
        <w:t>T</w:t>
      </w:r>
      <w:r w:rsidR="007B1038" w:rsidRPr="00640D01">
        <w:t xml:space="preserve">ransportation activities are consistent with air quality goals identified in the SIP. </w:t>
      </w:r>
    </w:p>
    <w:p w14:paraId="38522FE2" w14:textId="2F5865BB" w:rsidR="00BF2960" w:rsidRPr="00640D01" w:rsidRDefault="00AF3B4D" w:rsidP="00C33926">
      <w:r w:rsidRPr="00640D01">
        <w:lastRenderedPageBreak/>
        <w:t>As stipulated by the CAAA, r</w:t>
      </w:r>
      <w:r w:rsidR="00BF2960" w:rsidRPr="00640D01">
        <w:t>equirements for conformity analysis include:</w:t>
      </w:r>
    </w:p>
    <w:p w14:paraId="4403CF23" w14:textId="43459344" w:rsidR="00BF2960" w:rsidRPr="00640D01" w:rsidRDefault="00BF2960" w:rsidP="00C33926">
      <w:pPr>
        <w:pStyle w:val="ListBullet"/>
      </w:pPr>
      <w:r w:rsidRPr="00640D01">
        <w:t xml:space="preserve">Use </w:t>
      </w:r>
      <w:r w:rsidR="00940AE6" w:rsidRPr="00640D01">
        <w:t xml:space="preserve">of </w:t>
      </w:r>
      <w:r w:rsidRPr="00640D01">
        <w:t>the latest planning assumptions</w:t>
      </w:r>
      <w:r w:rsidR="009B07DE" w:rsidRPr="00640D01">
        <w:t xml:space="preserve"> (</w:t>
      </w:r>
      <w:hyperlink r:id="rId12" w:history="1">
        <w:r w:rsidR="009B07DE" w:rsidRPr="00640D01">
          <w:rPr>
            <w:rStyle w:val="Hyperlink"/>
          </w:rPr>
          <w:t>40 CFR 93.110</w:t>
        </w:r>
      </w:hyperlink>
      <w:r w:rsidR="009B07DE" w:rsidRPr="00640D01">
        <w:t>)</w:t>
      </w:r>
      <w:r w:rsidR="00940AE6" w:rsidRPr="00640D01">
        <w:t>.</w:t>
      </w:r>
    </w:p>
    <w:p w14:paraId="612E49FB" w14:textId="383B0927" w:rsidR="00BF2960" w:rsidRPr="00640D01" w:rsidRDefault="00BF2960" w:rsidP="00C33926">
      <w:pPr>
        <w:pStyle w:val="ListBullet"/>
      </w:pPr>
      <w:r w:rsidRPr="00640D01">
        <w:t>Analysis based on the latest emission estimation model available</w:t>
      </w:r>
      <w:r w:rsidR="001A5B9A" w:rsidRPr="00640D01">
        <w:t xml:space="preserve"> (</w:t>
      </w:r>
      <w:hyperlink r:id="rId13" w:history="1">
        <w:r w:rsidR="001A5B9A" w:rsidRPr="00640D01">
          <w:rPr>
            <w:rStyle w:val="Hyperlink"/>
          </w:rPr>
          <w:t>40 CFR 93.111</w:t>
        </w:r>
      </w:hyperlink>
      <w:r w:rsidR="001A5B9A" w:rsidRPr="00640D01">
        <w:t>)</w:t>
      </w:r>
      <w:r w:rsidR="00940AE6" w:rsidRPr="00640D01">
        <w:t>.</w:t>
      </w:r>
    </w:p>
    <w:p w14:paraId="47D8FAF9" w14:textId="2BB2C8D9" w:rsidR="00BF2960" w:rsidRPr="00640D01" w:rsidRDefault="00BF2960" w:rsidP="00C33926">
      <w:pPr>
        <w:pStyle w:val="ListBullet"/>
      </w:pPr>
      <w:r w:rsidRPr="00640D01">
        <w:t>Interagency consultation and a public involvement process</w:t>
      </w:r>
      <w:r w:rsidR="00940AE6" w:rsidRPr="00640D01">
        <w:t>, which</w:t>
      </w:r>
      <w:r w:rsidRPr="00640D01">
        <w:t xml:space="preserve"> must be conducted during the </w:t>
      </w:r>
      <w:r w:rsidR="00FE22C6" w:rsidRPr="00640D01">
        <w:t>analysis (</w:t>
      </w:r>
      <w:hyperlink r:id="rId14" w:history="1">
        <w:r w:rsidR="00FE22C6" w:rsidRPr="00640D01">
          <w:rPr>
            <w:rStyle w:val="Hyperlink"/>
          </w:rPr>
          <w:t>40 CFR 93.112</w:t>
        </w:r>
      </w:hyperlink>
      <w:r w:rsidR="00FE22C6" w:rsidRPr="00640D01">
        <w:t>)</w:t>
      </w:r>
      <w:r w:rsidR="00940AE6" w:rsidRPr="00640D01">
        <w:t>.</w:t>
      </w:r>
    </w:p>
    <w:p w14:paraId="6A2105A9" w14:textId="373BB898" w:rsidR="00BF2960" w:rsidRPr="00640D01" w:rsidRDefault="00BF2960" w:rsidP="00C33926">
      <w:pPr>
        <w:pStyle w:val="ListBullet"/>
      </w:pPr>
      <w:r w:rsidRPr="00640D01">
        <w:t xml:space="preserve">Timely implementation of </w:t>
      </w:r>
      <w:r w:rsidR="00940AE6" w:rsidRPr="00640D01">
        <w:t xml:space="preserve">transportation control measures </w:t>
      </w:r>
      <w:r w:rsidRPr="00640D01">
        <w:t>(TCMs)</w:t>
      </w:r>
      <w:r w:rsidR="00F53C4B" w:rsidRPr="00640D01">
        <w:t xml:space="preserve"> (</w:t>
      </w:r>
      <w:hyperlink r:id="rId15" w:history="1">
        <w:r w:rsidR="00F53C4B" w:rsidRPr="00640D01">
          <w:rPr>
            <w:rStyle w:val="Hyperlink"/>
          </w:rPr>
          <w:t>40 CFR 93.113</w:t>
        </w:r>
      </w:hyperlink>
      <w:r w:rsidR="00F53C4B" w:rsidRPr="00640D01">
        <w:t>)</w:t>
      </w:r>
      <w:r w:rsidR="00940AE6" w:rsidRPr="00640D01">
        <w:t>.</w:t>
      </w:r>
    </w:p>
    <w:p w14:paraId="0FE3111E" w14:textId="7CF58DE1" w:rsidR="00BF2960" w:rsidRPr="00640D01" w:rsidRDefault="00BF2960" w:rsidP="00C33926">
      <w:pPr>
        <w:pStyle w:val="ListBullet"/>
      </w:pPr>
      <w:r w:rsidRPr="00640D01">
        <w:t>A</w:t>
      </w:r>
      <w:r w:rsidR="00BD02EF" w:rsidRPr="00640D01">
        <w:t xml:space="preserve"> transportation plan </w:t>
      </w:r>
      <w:r w:rsidRPr="00640D01">
        <w:t xml:space="preserve">and TIP that are consistent with the MVEBs established in the applicable SIP (if there is an adequate or approved SIP budget) </w:t>
      </w:r>
      <w:r w:rsidR="00F53C4B" w:rsidRPr="00640D01">
        <w:t>(</w:t>
      </w:r>
      <w:hyperlink r:id="rId16" w:history="1">
        <w:r w:rsidR="00F53C4B" w:rsidRPr="00640D01">
          <w:rPr>
            <w:rStyle w:val="Hyperlink"/>
          </w:rPr>
          <w:t>40 CFR 93.118</w:t>
        </w:r>
      </w:hyperlink>
      <w:r w:rsidR="00F53C4B" w:rsidRPr="00640D01">
        <w:t>)</w:t>
      </w:r>
      <w:r w:rsidR="00940AE6" w:rsidRPr="00640D01">
        <w:t>.</w:t>
      </w:r>
    </w:p>
    <w:p w14:paraId="151474E2" w14:textId="6777A757" w:rsidR="00BF2960" w:rsidRPr="00640D01" w:rsidRDefault="00BF2960" w:rsidP="00C33926">
      <w:pPr>
        <w:pStyle w:val="ListBullet"/>
      </w:pPr>
      <w:r w:rsidRPr="00640D01">
        <w:t xml:space="preserve">Inclusion of all regionally significant projects expected in the nonattainment and maintenance area in the </w:t>
      </w:r>
      <w:r w:rsidR="000D47D5" w:rsidRPr="00640D01">
        <w:t>transportation plan</w:t>
      </w:r>
      <w:r w:rsidRPr="00640D01">
        <w:t xml:space="preserve"> and</w:t>
      </w:r>
      <w:r w:rsidR="00A9309F" w:rsidRPr="00640D01">
        <w:t>/or</w:t>
      </w:r>
      <w:r w:rsidRPr="00640D01">
        <w:t xml:space="preserve"> TIP</w:t>
      </w:r>
      <w:r w:rsidR="00A9309F" w:rsidRPr="00640D01">
        <w:t xml:space="preserve"> (</w:t>
      </w:r>
      <w:hyperlink r:id="rId17" w:history="1">
        <w:r w:rsidR="00A9309F" w:rsidRPr="00640D01">
          <w:rPr>
            <w:rStyle w:val="Hyperlink"/>
          </w:rPr>
          <w:t>40 CFR 93.114</w:t>
        </w:r>
      </w:hyperlink>
      <w:r w:rsidR="00A9309F" w:rsidRPr="00640D01">
        <w:t xml:space="preserve"> </w:t>
      </w:r>
      <w:r w:rsidR="00940AE6" w:rsidRPr="00640D01">
        <w:t xml:space="preserve">and </w:t>
      </w:r>
      <w:hyperlink r:id="rId18" w:history="1">
        <w:r w:rsidR="0050632F" w:rsidRPr="00640D01">
          <w:rPr>
            <w:rStyle w:val="Hyperlink"/>
          </w:rPr>
          <w:t>93.1</w:t>
        </w:r>
        <w:r w:rsidR="00A9309F" w:rsidRPr="00640D01">
          <w:rPr>
            <w:rStyle w:val="Hyperlink"/>
          </w:rPr>
          <w:t>15</w:t>
        </w:r>
      </w:hyperlink>
      <w:r w:rsidR="00A9309F" w:rsidRPr="00640D01">
        <w:t>).</w:t>
      </w:r>
    </w:p>
    <w:p w14:paraId="787B5837" w14:textId="5B50921C" w:rsidR="004B3F67" w:rsidRPr="00640D01" w:rsidRDefault="007B1038" w:rsidP="00C33926">
      <w:pPr>
        <w:pStyle w:val="BodyText"/>
      </w:pPr>
      <w:r w:rsidRPr="00640D01">
        <w:t xml:space="preserve">The determination of the analysis is a two-step process in metropolitan areas. The first step is for the MPO to make the initial </w:t>
      </w:r>
      <w:r w:rsidR="00940AE6" w:rsidRPr="00640D01">
        <w:t xml:space="preserve">transportation conformity </w:t>
      </w:r>
      <w:r w:rsidRPr="00640D01">
        <w:t xml:space="preserve">determination at the local level. For the </w:t>
      </w:r>
      <w:r w:rsidR="00B82961" w:rsidRPr="00640D01">
        <w:rPr>
          <w:b/>
          <w:bCs/>
          <w:color w:val="C00000"/>
        </w:rPr>
        <w:fldChar w:fldCharType="begin"/>
      </w:r>
      <w:r w:rsidR="00B82961" w:rsidRPr="00640D01">
        <w:instrText xml:space="preserve"> REF RegionName \h </w:instrText>
      </w:r>
      <w:r w:rsidR="00B82961" w:rsidRPr="00640D01">
        <w:rPr>
          <w:b/>
          <w:bCs/>
          <w:color w:val="C00000"/>
        </w:rPr>
      </w:r>
      <w:r w:rsidR="00B82961" w:rsidRPr="00640D01">
        <w:rPr>
          <w:b/>
          <w:bCs/>
          <w:color w:val="C00000"/>
        </w:rPr>
        <w:fldChar w:fldCharType="separate"/>
      </w:r>
      <w:sdt>
        <w:sdtPr>
          <w:rPr>
            <w:b/>
            <w:bCs/>
            <w:color w:val="C00000"/>
          </w:rPr>
          <w:alias w:val="Region Name"/>
          <w:tag w:val="Region Name"/>
          <w:id w:val="1442108835"/>
          <w:placeholder>
            <w:docPart w:val="E40AB4410D08402BBE664DFB17DF8A85"/>
          </w:placeholder>
          <w:dropDownList>
            <w:listItem w:displayText="[Region name]" w:value="[Region name]"/>
            <w:listItem w:displayText="Beaumont-Port Arthur" w:value="Beaumont-Port Arthur"/>
            <w:listItem w:displayText="Dallas-Fort Worth" w:value="Dallas-Fort Worth"/>
            <w:listItem w:displayText="El Paso" w:value="El Paso"/>
            <w:listItem w:displayText="Houston-Galveston-Brazoria" w:value="Houston-Galveston-Brazoria"/>
            <w:listItem w:displayText="San Antonio" w:value="San Antonio"/>
          </w:dropDownList>
        </w:sdtPr>
        <w:sdtContent>
          <w:r w:rsidR="00514311">
            <w:rPr>
              <w:b/>
              <w:bCs/>
              <w:color w:val="C00000"/>
            </w:rPr>
            <w:t>[Region name]</w:t>
          </w:r>
        </w:sdtContent>
      </w:sdt>
      <w:r w:rsidR="00B82961" w:rsidRPr="00640D01">
        <w:rPr>
          <w:b/>
          <w:bCs/>
          <w:color w:val="C00000"/>
        </w:rPr>
        <w:fldChar w:fldCharType="end"/>
      </w:r>
      <w:r w:rsidR="00B82961" w:rsidRPr="00640D01">
        <w:t>region</w:t>
      </w:r>
      <w:r w:rsidR="0024180E" w:rsidRPr="00640D01">
        <w:t xml:space="preserve">, </w:t>
      </w:r>
      <w:r w:rsidR="00B82961" w:rsidRPr="00640D01">
        <w:t xml:space="preserve">the </w:t>
      </w:r>
      <w:sdt>
        <w:sdtPr>
          <w:alias w:val="Select MPO"/>
          <w:tag w:val="Select MPO"/>
          <w:id w:val="-1990161508"/>
          <w:placeholder>
            <w:docPart w:val="48B014D01C55479C9DF101C22F8EE522"/>
          </w:placeholder>
          <w:showingPlcHdr/>
          <w:dropDownList>
            <w:listItem w:value="Choose an item."/>
            <w:listItem w:displayText="AAMPO" w:value="AAMPO"/>
            <w:listItem w:displayText="El Paso MPO" w:value="El Paso MPO"/>
            <w:listItem w:displayText="H-GAC" w:value="H-GAC"/>
            <w:listItem w:displayText="NCTCOG" w:value="NCTCOG"/>
            <w:listItem w:displayText="SETRPC" w:value="SETRPC"/>
          </w:dropDownList>
        </w:sdtPr>
        <w:sdtContent>
          <w:r w:rsidR="00B82961" w:rsidRPr="00640D01">
            <w:rPr>
              <w:rStyle w:val="Style2"/>
            </w:rPr>
            <w:t>[</w:t>
          </w:r>
          <w:r w:rsidR="00B82961" w:rsidRPr="00640D01">
            <w:rPr>
              <w:b/>
              <w:bCs/>
              <w:color w:val="C00000"/>
            </w:rPr>
            <w:t>MPO Name]</w:t>
          </w:r>
        </w:sdtContent>
      </w:sdt>
      <w:r w:rsidR="004F1D44" w:rsidRPr="00640D01">
        <w:t xml:space="preserve"> </w:t>
      </w:r>
      <w:r w:rsidRPr="00640D01">
        <w:t>policy body</w:t>
      </w:r>
      <w:r w:rsidR="00210D92" w:rsidRPr="00640D01">
        <w:t xml:space="preserve"> makes this decision</w:t>
      </w:r>
      <w:r w:rsidRPr="00640D01">
        <w:t xml:space="preserve">. The second step is for </w:t>
      </w:r>
      <w:r w:rsidR="00210D92" w:rsidRPr="00640D01">
        <w:t>FHWA</w:t>
      </w:r>
      <w:r w:rsidRPr="00640D01">
        <w:t xml:space="preserve"> and </w:t>
      </w:r>
      <w:r w:rsidR="00210D92" w:rsidRPr="00640D01">
        <w:t>FTA</w:t>
      </w:r>
      <w:r w:rsidRPr="00640D01">
        <w:t xml:space="preserve"> to make a joint </w:t>
      </w:r>
      <w:r w:rsidR="00940AE6" w:rsidRPr="00640D01">
        <w:t xml:space="preserve">transportation conformity </w:t>
      </w:r>
      <w:r w:rsidRPr="00640D01">
        <w:t xml:space="preserve">determination at the federal level. Upon federal approval, a </w:t>
      </w:r>
      <w:r w:rsidR="00940AE6" w:rsidRPr="00640D01">
        <w:t>4</w:t>
      </w:r>
      <w:r w:rsidRPr="00640D01">
        <w:t xml:space="preserve">-year window begins during which projects, programs, and policies identified in the </w:t>
      </w:r>
      <w:r w:rsidR="00106E61" w:rsidRPr="00640D01">
        <w:t>R</w:t>
      </w:r>
      <w:r w:rsidR="00492C78" w:rsidRPr="00640D01">
        <w:t>TP/</w:t>
      </w:r>
      <w:r w:rsidRPr="00640D01">
        <w:t xml:space="preserve">MTP and TIP may move toward implementation. </w:t>
      </w:r>
    </w:p>
    <w:p w14:paraId="623AA999" w14:textId="742E3F78" w:rsidR="00B012D5" w:rsidRPr="00640D01" w:rsidRDefault="00017A79" w:rsidP="00B012D5">
      <w:pPr>
        <w:pStyle w:val="Heading2"/>
      </w:pPr>
      <w:bookmarkStart w:id="25" w:name="_Toc190242684"/>
      <w:r w:rsidRPr="00640D01">
        <w:t>Emission</w:t>
      </w:r>
      <w:r w:rsidR="00893E19" w:rsidRPr="00640D01">
        <w:t>s</w:t>
      </w:r>
      <w:r w:rsidRPr="00640D01">
        <w:t xml:space="preserve"> Analysis</w:t>
      </w:r>
      <w:bookmarkEnd w:id="25"/>
    </w:p>
    <w:p w14:paraId="092B9FA0" w14:textId="44460512" w:rsidR="00F70832" w:rsidRPr="00640D01" w:rsidRDefault="00297A33" w:rsidP="00C33926">
      <w:pPr>
        <w:pStyle w:val="BodyText"/>
      </w:pPr>
      <w:r w:rsidRPr="00640D01">
        <w:t xml:space="preserve">A regional emissions analysis is the key analytic component of the </w:t>
      </w:r>
      <w:r w:rsidR="00893E19" w:rsidRPr="00640D01">
        <w:t xml:space="preserve">transportation conformity </w:t>
      </w:r>
      <w:r w:rsidRPr="00640D01">
        <w:t xml:space="preserve">process. </w:t>
      </w:r>
      <w:r w:rsidR="00893E19" w:rsidRPr="00640D01">
        <w:t xml:space="preserve">The emissions analysis </w:t>
      </w:r>
      <w:r w:rsidRPr="00640D01">
        <w:t xml:space="preserve">is conducted to demonstrate </w:t>
      </w:r>
      <w:r w:rsidR="00893E19" w:rsidRPr="00640D01">
        <w:t>that</w:t>
      </w:r>
      <w:r w:rsidR="00F70832" w:rsidRPr="00640D01">
        <w:t>:</w:t>
      </w:r>
    </w:p>
    <w:p w14:paraId="58785A51" w14:textId="2AC22564" w:rsidR="00F70832" w:rsidRPr="00640D01" w:rsidRDefault="00F70832" w:rsidP="00F70832">
      <w:pPr>
        <w:pStyle w:val="ListBullet"/>
      </w:pPr>
      <w:r w:rsidRPr="00640D01">
        <w:t>R</w:t>
      </w:r>
      <w:r w:rsidR="00297A33" w:rsidRPr="00640D01">
        <w:t>egional emissions from on-road sources do not exceed the established MVEBs</w:t>
      </w:r>
      <w:r w:rsidR="00256B71" w:rsidRPr="00640D01">
        <w:t xml:space="preserve"> (or, </w:t>
      </w:r>
      <w:bookmarkStart w:id="26" w:name="_Hlk156320477"/>
      <w:r w:rsidR="00256B71" w:rsidRPr="00640D01">
        <w:t xml:space="preserve">if no MVEB </w:t>
      </w:r>
      <w:r w:rsidR="00893E19" w:rsidRPr="00640D01">
        <w:t xml:space="preserve">exists </w:t>
      </w:r>
      <w:r w:rsidR="00256B71" w:rsidRPr="00640D01">
        <w:t xml:space="preserve">for the area, </w:t>
      </w:r>
      <w:r w:rsidR="003F5AA6" w:rsidRPr="00640D01">
        <w:t>analysis-</w:t>
      </w:r>
      <w:r w:rsidR="00256B71" w:rsidRPr="00640D01">
        <w:t xml:space="preserve">year build emissions do not exceed </w:t>
      </w:r>
      <w:r w:rsidR="003F5AA6" w:rsidRPr="00640D01">
        <w:t>analysis-</w:t>
      </w:r>
      <w:r w:rsidR="00256B71" w:rsidRPr="00640D01">
        <w:t>year no</w:t>
      </w:r>
      <w:r w:rsidR="00893E19" w:rsidRPr="00640D01">
        <w:t>-</w:t>
      </w:r>
      <w:r w:rsidR="00256B71" w:rsidRPr="00640D01">
        <w:t xml:space="preserve">build emissions </w:t>
      </w:r>
      <w:r w:rsidR="00893E19" w:rsidRPr="00640D01">
        <w:t>and</w:t>
      </w:r>
      <w:r w:rsidR="00256B71" w:rsidRPr="00640D01">
        <w:t xml:space="preserve"> do not exceed </w:t>
      </w:r>
      <w:r w:rsidR="003F5AA6" w:rsidRPr="00640D01">
        <w:t>baseline-</w:t>
      </w:r>
      <w:r w:rsidR="00256B71" w:rsidRPr="00640D01">
        <w:t>year emissions</w:t>
      </w:r>
      <w:bookmarkEnd w:id="26"/>
      <w:r w:rsidRPr="00640D01">
        <w:t>).</w:t>
      </w:r>
    </w:p>
    <w:p w14:paraId="36F3C2A3" w14:textId="6B3EB054" w:rsidR="00F70832" w:rsidRPr="00640D01" w:rsidRDefault="00F70832" w:rsidP="00F70832">
      <w:pPr>
        <w:pStyle w:val="ListBullet"/>
      </w:pPr>
      <w:r w:rsidRPr="00640D01">
        <w:t>R</w:t>
      </w:r>
      <w:r w:rsidR="00B6499E" w:rsidRPr="00640D01">
        <w:t xml:space="preserve">egional emissions from on-road sources </w:t>
      </w:r>
      <w:r w:rsidR="00893E19" w:rsidRPr="00640D01">
        <w:t>do not cause</w:t>
      </w:r>
      <w:r w:rsidR="00297A33" w:rsidRPr="00640D01">
        <w:t xml:space="preserve"> or contribut</w:t>
      </w:r>
      <w:r w:rsidR="00893E19" w:rsidRPr="00640D01">
        <w:t>e</w:t>
      </w:r>
      <w:r w:rsidR="00297A33" w:rsidRPr="00640D01">
        <w:t xml:space="preserve"> to violations of</w:t>
      </w:r>
      <w:r w:rsidR="00893E19" w:rsidRPr="00640D01">
        <w:t xml:space="preserve"> the</w:t>
      </w:r>
      <w:r w:rsidR="00297A33" w:rsidRPr="00640D01">
        <w:t xml:space="preserve"> EPA NAAQS</w:t>
      </w:r>
      <w:r w:rsidRPr="00640D01">
        <w:t>.</w:t>
      </w:r>
    </w:p>
    <w:p w14:paraId="68FB88E6" w14:textId="582B1809" w:rsidR="00297A33" w:rsidRPr="00640D01" w:rsidRDefault="00F70832" w:rsidP="00176A31">
      <w:pPr>
        <w:pStyle w:val="ListBullet"/>
      </w:pPr>
      <w:r w:rsidRPr="00640D01">
        <w:t>T</w:t>
      </w:r>
      <w:r w:rsidR="00297A33" w:rsidRPr="00640D01">
        <w:t>ransportation activities are consistent with air quality goals identified in the SIP.</w:t>
      </w:r>
    </w:p>
    <w:p w14:paraId="23A9CDAB" w14:textId="77777777" w:rsidR="009F3DFE" w:rsidRPr="00640D01" w:rsidRDefault="00017A79" w:rsidP="009F3DFE">
      <w:pPr>
        <w:pStyle w:val="Heading3"/>
      </w:pPr>
      <w:bookmarkStart w:id="27" w:name="_Toc190242685"/>
      <w:r w:rsidRPr="00640D01">
        <w:t>Regional Inventory</w:t>
      </w:r>
      <w:bookmarkEnd w:id="27"/>
    </w:p>
    <w:p w14:paraId="299AE8F6" w14:textId="6AE3BA26" w:rsidR="009F3DFE" w:rsidRPr="00640D01" w:rsidRDefault="00297A33" w:rsidP="00C33926">
      <w:pPr>
        <w:pStyle w:val="BodyText"/>
      </w:pPr>
      <w:r w:rsidRPr="00640D01">
        <w:t xml:space="preserve">This conformity analysis of the </w:t>
      </w:r>
      <w:r w:rsidR="00B82961" w:rsidRPr="00640D01">
        <w:rPr>
          <w:b/>
          <w:bCs/>
          <w:color w:val="C00000"/>
        </w:rPr>
        <w:fldChar w:fldCharType="begin"/>
      </w:r>
      <w:r w:rsidR="00B82961" w:rsidRPr="00640D01">
        <w:instrText xml:space="preserve"> REF RegionName \h </w:instrText>
      </w:r>
      <w:r w:rsidR="00B82961" w:rsidRPr="00640D01">
        <w:rPr>
          <w:b/>
          <w:bCs/>
          <w:color w:val="C00000"/>
        </w:rPr>
      </w:r>
      <w:r w:rsidR="00B82961" w:rsidRPr="00640D01">
        <w:rPr>
          <w:b/>
          <w:bCs/>
          <w:color w:val="C00000"/>
        </w:rPr>
        <w:fldChar w:fldCharType="separate"/>
      </w:r>
      <w:sdt>
        <w:sdtPr>
          <w:rPr>
            <w:b/>
            <w:bCs/>
            <w:color w:val="C00000"/>
          </w:rPr>
          <w:alias w:val="Region Name"/>
          <w:tag w:val="Region Name"/>
          <w:id w:val="-803695307"/>
          <w:placeholder>
            <w:docPart w:val="BE8275801F1D4461A53763ED90B8D927"/>
          </w:placeholder>
          <w:dropDownList>
            <w:listItem w:displayText="[Region name]" w:value="[Region name]"/>
            <w:listItem w:displayText="Beaumont-Port Arthur" w:value="Beaumont-Port Arthur"/>
            <w:listItem w:displayText="Dallas-Fort Worth" w:value="Dallas-Fort Worth"/>
            <w:listItem w:displayText="El Paso" w:value="El Paso"/>
            <w:listItem w:displayText="Houston-Galveston-Brazoria" w:value="Houston-Galveston-Brazoria"/>
            <w:listItem w:displayText="San Antonio" w:value="San Antonio"/>
          </w:dropDownList>
        </w:sdtPr>
        <w:sdtContent>
          <w:r w:rsidR="00514311">
            <w:rPr>
              <w:b/>
              <w:bCs/>
              <w:color w:val="C00000"/>
            </w:rPr>
            <w:t>[Region name]</w:t>
          </w:r>
        </w:sdtContent>
      </w:sdt>
      <w:r w:rsidR="00B82961" w:rsidRPr="00640D01">
        <w:rPr>
          <w:b/>
          <w:bCs/>
          <w:color w:val="C00000"/>
        </w:rPr>
        <w:fldChar w:fldCharType="end"/>
      </w:r>
      <w:r w:rsidR="00514311">
        <w:rPr>
          <w:b/>
          <w:bCs/>
          <w:color w:val="C00000"/>
        </w:rPr>
        <w:t xml:space="preserve"> </w:t>
      </w:r>
      <w:r w:rsidR="00DF2BC4" w:rsidRPr="00640D01">
        <w:t xml:space="preserve">nonattainment area </w:t>
      </w:r>
      <w:r w:rsidRPr="00640D01">
        <w:t xml:space="preserve">accounts for emissions resulting from the nonattainment area’s </w:t>
      </w:r>
      <w:r w:rsidR="00D231FC" w:rsidRPr="00640D01">
        <w:rPr>
          <w:color w:val="7030A0"/>
        </w:rPr>
        <w:fldChar w:fldCharType="begin"/>
      </w:r>
      <w:r w:rsidR="00D231FC" w:rsidRPr="00640D01">
        <w:instrText xml:space="preserve"> REF MTPRTP \h </w:instrText>
      </w:r>
      <w:r w:rsidR="00D231FC" w:rsidRPr="00640D01">
        <w:rPr>
          <w:color w:val="7030A0"/>
        </w:rPr>
      </w:r>
      <w:r w:rsidR="00D231FC" w:rsidRPr="00640D01">
        <w:rPr>
          <w:color w:val="7030A0"/>
        </w:rPr>
        <w:fldChar w:fldCharType="separate"/>
      </w:r>
      <w:r w:rsidR="00514311" w:rsidRPr="00640D01">
        <w:rPr>
          <w:b/>
          <w:bCs/>
          <w:color w:val="C00000"/>
        </w:rPr>
        <w:t>[Name of RTP/MTP]</w:t>
      </w:r>
      <w:r w:rsidR="00D231FC" w:rsidRPr="00640D01">
        <w:rPr>
          <w:color w:val="7030A0"/>
        </w:rPr>
        <w:fldChar w:fldCharType="end"/>
      </w:r>
      <w:r w:rsidR="00703D66" w:rsidRPr="00640D01">
        <w:rPr>
          <w:color w:val="7030A0"/>
        </w:rPr>
        <w:t xml:space="preserve">, </w:t>
      </w:r>
      <w:r w:rsidR="00F70832" w:rsidRPr="00640D01">
        <w:t xml:space="preserve">which </w:t>
      </w:r>
      <w:r w:rsidR="00D231FC" w:rsidRPr="00640D01">
        <w:t>includes</w:t>
      </w:r>
      <w:r w:rsidRPr="00640D01">
        <w:t xml:space="preserve"> all regionally significant projects located within the </w:t>
      </w:r>
      <w:r w:rsidR="00B82961" w:rsidRPr="00640D01">
        <w:rPr>
          <w:b/>
          <w:bCs/>
          <w:color w:val="C00000"/>
        </w:rPr>
        <w:fldChar w:fldCharType="begin"/>
      </w:r>
      <w:r w:rsidR="00B82961" w:rsidRPr="00640D01">
        <w:instrText xml:space="preserve"> REF RegionName \h </w:instrText>
      </w:r>
      <w:r w:rsidR="00B82961" w:rsidRPr="00640D01">
        <w:rPr>
          <w:b/>
          <w:bCs/>
          <w:color w:val="C00000"/>
        </w:rPr>
      </w:r>
      <w:r w:rsidR="00B82961" w:rsidRPr="00640D01">
        <w:rPr>
          <w:b/>
          <w:bCs/>
          <w:color w:val="C00000"/>
        </w:rPr>
        <w:fldChar w:fldCharType="separate"/>
      </w:r>
      <w:sdt>
        <w:sdtPr>
          <w:rPr>
            <w:b/>
            <w:bCs/>
            <w:color w:val="C00000"/>
          </w:rPr>
          <w:alias w:val="Region Name"/>
          <w:tag w:val="Region Name"/>
          <w:id w:val="825562320"/>
          <w:placeholder>
            <w:docPart w:val="1CB8B233CAD0498F862638866D942F67"/>
          </w:placeholder>
          <w:dropDownList>
            <w:listItem w:displayText="[Region name]" w:value="[Region name]"/>
            <w:listItem w:displayText="Beaumont-Port Arthur" w:value="Beaumont-Port Arthur"/>
            <w:listItem w:displayText="Dallas-Fort Worth" w:value="Dallas-Fort Worth"/>
            <w:listItem w:displayText="El Paso" w:value="El Paso"/>
            <w:listItem w:displayText="Houston-Galveston-Brazoria" w:value="Houston-Galveston-Brazoria"/>
            <w:listItem w:displayText="San Antonio" w:value="San Antonio"/>
          </w:dropDownList>
        </w:sdtPr>
        <w:sdtContent>
          <w:r w:rsidR="00514311">
            <w:rPr>
              <w:b/>
              <w:bCs/>
              <w:color w:val="C00000"/>
            </w:rPr>
            <w:t>[Region name]</w:t>
          </w:r>
        </w:sdtContent>
      </w:sdt>
      <w:r w:rsidR="00B82961" w:rsidRPr="00640D01">
        <w:rPr>
          <w:b/>
          <w:bCs/>
          <w:color w:val="C00000"/>
        </w:rPr>
        <w:fldChar w:fldCharType="end"/>
      </w:r>
      <w:r w:rsidR="00514311">
        <w:rPr>
          <w:b/>
          <w:bCs/>
          <w:color w:val="C00000"/>
        </w:rPr>
        <w:t xml:space="preserve"> </w:t>
      </w:r>
      <w:r w:rsidR="001137FC" w:rsidRPr="00640D01">
        <w:t>nonattainment area</w:t>
      </w:r>
      <w:r w:rsidR="00415B80" w:rsidRPr="00640D01">
        <w:t xml:space="preserve">, </w:t>
      </w:r>
      <w:r w:rsidRPr="00640D01">
        <w:t>and the effects of emission control programs adopted by an enforcing jurisdiction.</w:t>
      </w:r>
    </w:p>
    <w:p w14:paraId="40D7854D" w14:textId="77777777" w:rsidR="009F3DFE" w:rsidRPr="00640D01" w:rsidRDefault="00017A79" w:rsidP="009F3DFE">
      <w:pPr>
        <w:pStyle w:val="Heading3"/>
      </w:pPr>
      <w:bookmarkStart w:id="28" w:name="_Toc190242686"/>
      <w:r w:rsidRPr="00640D01">
        <w:t>Emissions Tests</w:t>
      </w:r>
      <w:bookmarkEnd w:id="28"/>
    </w:p>
    <w:p w14:paraId="0FD1584D" w14:textId="784591D1" w:rsidR="000C515D" w:rsidRPr="00640D01" w:rsidRDefault="00B40C6B" w:rsidP="00C33926">
      <w:pPr>
        <w:pStyle w:val="BodyText"/>
      </w:pPr>
      <w:r w:rsidRPr="00640D01">
        <w:t xml:space="preserve">Conformity determinations must demonstrate consistency between expected emissions from implementing the </w:t>
      </w:r>
      <w:r w:rsidR="00CB6D69" w:rsidRPr="00640D01">
        <w:t>RTP/</w:t>
      </w:r>
      <w:r w:rsidRPr="00640D01">
        <w:t xml:space="preserve">MTP and TIP with the MVEBs in the applicable implementation plan. </w:t>
      </w:r>
    </w:p>
    <w:p w14:paraId="06823812" w14:textId="545E5D39" w:rsidR="00EE6563" w:rsidRPr="00640D01" w:rsidRDefault="00EE6563" w:rsidP="00C33926">
      <w:pPr>
        <w:pStyle w:val="BodyText"/>
        <w:keepNext/>
      </w:pPr>
      <w:r w:rsidRPr="00640D01">
        <w:lastRenderedPageBreak/>
        <w:t xml:space="preserve">Check </w:t>
      </w:r>
      <w:r w:rsidR="009A526E" w:rsidRPr="00640D01">
        <w:t>only one box</w:t>
      </w:r>
      <w:r w:rsidR="00F70832" w:rsidRPr="00640D01">
        <w:t xml:space="preserve"> and</w:t>
      </w:r>
      <w:r w:rsidR="009A526E" w:rsidRPr="00640D01">
        <w:t xml:space="preserve"> then populate </w:t>
      </w:r>
      <w:r w:rsidRPr="00640D01">
        <w:t>as applicable.</w:t>
      </w:r>
    </w:p>
    <w:bookmarkStart w:id="29" w:name="_Ref151979711"/>
    <w:p w14:paraId="1DCFD632" w14:textId="29197715" w:rsidR="00EE6563" w:rsidRPr="00640D01" w:rsidRDefault="00000000" w:rsidP="00C33926">
      <w:pPr>
        <w:pStyle w:val="BodyTextBold"/>
        <w:keepNext/>
      </w:pPr>
      <w:sdt>
        <w:sdtPr>
          <w:id w:val="-1603797021"/>
          <w14:checkbox>
            <w14:checked w14:val="0"/>
            <w14:checkedState w14:val="2612" w14:font="MS Gothic"/>
            <w14:uncheckedState w14:val="2610" w14:font="MS Gothic"/>
          </w14:checkbox>
        </w:sdtPr>
        <w:sdtContent>
          <w:r w:rsidR="00EE6563" w:rsidRPr="00640D01">
            <w:rPr>
              <w:rFonts w:ascii="MS Gothic" w:eastAsia="MS Gothic" w:hAnsi="MS Gothic"/>
            </w:rPr>
            <w:t>☐</w:t>
          </w:r>
        </w:sdtContent>
      </w:sdt>
      <w:r w:rsidR="005112F0" w:rsidRPr="00640D01">
        <w:t xml:space="preserve"> </w:t>
      </w:r>
      <w:r w:rsidR="00B90F10" w:rsidRPr="00640D01">
        <w:t xml:space="preserve">For </w:t>
      </w:r>
      <w:r w:rsidR="000C515D" w:rsidRPr="00640D01">
        <w:t>nonattainment or maintenance areas with adequate or approved SIP MVEB(s)</w:t>
      </w:r>
    </w:p>
    <w:p w14:paraId="6E6E7FC0" w14:textId="74D3F091" w:rsidR="000C515D" w:rsidRPr="00640D01" w:rsidRDefault="000C515D" w:rsidP="00C33926">
      <w:pPr>
        <w:pStyle w:val="BodyText"/>
        <w:rPr>
          <w:b/>
          <w:bCs/>
        </w:rPr>
      </w:pPr>
      <w:r w:rsidRPr="00640D01">
        <w:t>This conformity analysis requires MVEB test(s)</w:t>
      </w:r>
      <w:r w:rsidR="005112F0" w:rsidRPr="00640D01">
        <w:t xml:space="preserve"> that</w:t>
      </w:r>
      <w:r w:rsidRPr="00640D01">
        <w:t xml:space="preserve"> must demonstrate that the </w:t>
      </w:r>
      <w:r w:rsidR="00514311">
        <w:t xml:space="preserve">total </w:t>
      </w:r>
      <w:r w:rsidRPr="00640D01">
        <w:t>emission</w:t>
      </w:r>
      <w:r w:rsidR="00514311">
        <w:t>s</w:t>
      </w:r>
      <w:r w:rsidRPr="00640D01">
        <w:t xml:space="preserve"> for the</w:t>
      </w:r>
      <w:r w:rsidR="00514311">
        <w:t xml:space="preserve"> nonattainment or maintenance</w:t>
      </w:r>
      <w:r w:rsidRPr="00640D01">
        <w:t xml:space="preserve"> </w:t>
      </w:r>
      <w:r w:rsidR="005112F0" w:rsidRPr="00640D01">
        <w:t xml:space="preserve">area </w:t>
      </w:r>
      <w:r w:rsidR="00514311">
        <w:t>is</w:t>
      </w:r>
      <w:r w:rsidRPr="00640D01">
        <w:t xml:space="preserve"> less than or equal to the applicable SIP MVEB(s), which establish emissions ceilings for the regional transportation network.</w:t>
      </w:r>
    </w:p>
    <w:p w14:paraId="1B39AD4D" w14:textId="0D40AA16" w:rsidR="00D563A4" w:rsidRPr="00640D01" w:rsidRDefault="000C515D" w:rsidP="00C33926">
      <w:pPr>
        <w:pStyle w:val="BodyText"/>
      </w:pPr>
      <w:r w:rsidRPr="00640D01">
        <w:t xml:space="preserve">As the </w:t>
      </w:r>
      <w:r w:rsidR="00112EFB" w:rsidRPr="00640D01">
        <w:rPr>
          <w:b/>
          <w:bCs/>
          <w:color w:val="C00000"/>
        </w:rPr>
        <w:fldChar w:fldCharType="begin"/>
      </w:r>
      <w:r w:rsidR="00112EFB" w:rsidRPr="00640D01">
        <w:instrText xml:space="preserve"> REF RegionName \h </w:instrText>
      </w:r>
      <w:r w:rsidR="00112EFB" w:rsidRPr="00640D01">
        <w:rPr>
          <w:b/>
          <w:bCs/>
          <w:color w:val="C00000"/>
        </w:rPr>
      </w:r>
      <w:r w:rsidR="00112EFB" w:rsidRPr="00640D01">
        <w:rPr>
          <w:b/>
          <w:bCs/>
          <w:color w:val="C00000"/>
        </w:rPr>
        <w:fldChar w:fldCharType="separate"/>
      </w:r>
      <w:sdt>
        <w:sdtPr>
          <w:rPr>
            <w:b/>
            <w:bCs/>
            <w:color w:val="C00000"/>
          </w:rPr>
          <w:alias w:val="Region Name"/>
          <w:tag w:val="Region Name"/>
          <w:id w:val="1002239143"/>
          <w:placeholder>
            <w:docPart w:val="0818BEE7E81D44F797C64C2230318257"/>
          </w:placeholder>
          <w:dropDownList>
            <w:listItem w:displayText="[Region name]" w:value="[Region name]"/>
            <w:listItem w:displayText="Beaumont-Port Arthur" w:value="Beaumont-Port Arthur"/>
            <w:listItem w:displayText="Dallas-Fort Worth" w:value="Dallas-Fort Worth"/>
            <w:listItem w:displayText="El Paso" w:value="El Paso"/>
            <w:listItem w:displayText="Houston-Galveston-Brazoria" w:value="Houston-Galveston-Brazoria"/>
            <w:listItem w:displayText="San Antonio" w:value="San Antonio"/>
          </w:dropDownList>
        </w:sdtPr>
        <w:sdtContent>
          <w:r w:rsidR="00514311">
            <w:rPr>
              <w:b/>
              <w:bCs/>
              <w:color w:val="C00000"/>
            </w:rPr>
            <w:t>[Region name]</w:t>
          </w:r>
        </w:sdtContent>
      </w:sdt>
      <w:r w:rsidR="00112EFB" w:rsidRPr="00640D01">
        <w:rPr>
          <w:b/>
          <w:bCs/>
          <w:color w:val="C00000"/>
        </w:rPr>
        <w:fldChar w:fldCharType="end"/>
      </w:r>
      <w:r w:rsidR="00514311">
        <w:rPr>
          <w:b/>
          <w:bCs/>
          <w:color w:val="C00000"/>
        </w:rPr>
        <w:t xml:space="preserve"> </w:t>
      </w:r>
      <w:r w:rsidR="008A5814" w:rsidRPr="00640D01">
        <w:t xml:space="preserve">nonattainment area’s </w:t>
      </w:r>
      <w:r w:rsidRPr="00640D01">
        <w:t xml:space="preserve">MPO, </w:t>
      </w:r>
      <w:r w:rsidR="00B82961" w:rsidRPr="00640D01">
        <w:t xml:space="preserve">the </w:t>
      </w:r>
      <w:sdt>
        <w:sdtPr>
          <w:alias w:val="Select MPO"/>
          <w:tag w:val="Select MPO"/>
          <w:id w:val="-343246946"/>
          <w:placeholder>
            <w:docPart w:val="33A01615B0004EBEAB00C5E19B74CC3C"/>
          </w:placeholder>
          <w:showingPlcHdr/>
          <w:dropDownList>
            <w:listItem w:value="Choose an item."/>
            <w:listItem w:displayText="AAMPO" w:value="AAMPO"/>
            <w:listItem w:displayText="El Paso MPO" w:value="El Paso MPO"/>
            <w:listItem w:displayText="H-GAC" w:value="H-GAC"/>
            <w:listItem w:displayText="NCTCOG" w:value="NCTCOG"/>
            <w:listItem w:displayText="SETRPC" w:value="SETRPC"/>
          </w:dropDownList>
        </w:sdtPr>
        <w:sdtContent>
          <w:r w:rsidR="00B82961" w:rsidRPr="00640D01">
            <w:rPr>
              <w:rStyle w:val="Style2"/>
            </w:rPr>
            <w:t>[</w:t>
          </w:r>
          <w:r w:rsidR="00B82961" w:rsidRPr="00640D01">
            <w:rPr>
              <w:b/>
              <w:bCs/>
              <w:color w:val="C00000"/>
            </w:rPr>
            <w:t>MPO Name]</w:t>
          </w:r>
        </w:sdtContent>
      </w:sdt>
      <w:r w:rsidR="004F1D44" w:rsidRPr="00640D01">
        <w:t xml:space="preserve"> </w:t>
      </w:r>
      <w:r w:rsidRPr="00640D01">
        <w:t xml:space="preserve">is responsible for conducting the air quality conformity analysis to address the </w:t>
      </w:r>
      <w:r w:rsidR="003759EF" w:rsidRPr="00640D01">
        <w:rPr>
          <w:rFonts w:eastAsia="MS Gothic" w:cs="Times New Roman"/>
          <w:color w:val="7030A0"/>
        </w:rPr>
        <w:t>[</w:t>
      </w:r>
      <w:r w:rsidR="003F5AA6" w:rsidRPr="00640D01">
        <w:rPr>
          <w:rFonts w:eastAsia="MS Gothic" w:cs="Times New Roman"/>
          <w:b/>
          <w:bCs/>
          <w:color w:val="7030A0"/>
        </w:rPr>
        <w:t xml:space="preserve">name </w:t>
      </w:r>
      <w:r w:rsidR="003759EF" w:rsidRPr="00640D01">
        <w:rPr>
          <w:rFonts w:eastAsia="MS Gothic" w:cs="Times New Roman"/>
          <w:b/>
          <w:bCs/>
          <w:color w:val="7030A0"/>
        </w:rPr>
        <w:t>of NAAQS</w:t>
      </w:r>
      <w:r w:rsidR="003759EF" w:rsidRPr="00640D01">
        <w:rPr>
          <w:rFonts w:eastAsia="MS Gothic" w:cs="Times New Roman"/>
          <w:color w:val="7030A0"/>
        </w:rPr>
        <w:t xml:space="preserve"> </w:t>
      </w:r>
      <w:r w:rsidR="005112F0" w:rsidRPr="00640D01">
        <w:rPr>
          <w:rFonts w:eastAsia="MS Gothic" w:cs="Times New Roman"/>
          <w:color w:val="7030A0"/>
        </w:rPr>
        <w:t>(e.</w:t>
      </w:r>
      <w:r w:rsidR="003759EF" w:rsidRPr="00640D01">
        <w:rPr>
          <w:rFonts w:eastAsia="MS Gothic" w:cs="Times New Roman"/>
          <w:color w:val="7030A0"/>
        </w:rPr>
        <w:t xml:space="preserve">g., 2015 </w:t>
      </w:r>
      <w:r w:rsidR="005112F0" w:rsidRPr="00640D01">
        <w:rPr>
          <w:rFonts w:eastAsia="MS Gothic" w:cs="Times New Roman"/>
          <w:color w:val="7030A0"/>
        </w:rPr>
        <w:t>ozone</w:t>
      </w:r>
      <w:r w:rsidR="003759EF" w:rsidRPr="00640D01">
        <w:rPr>
          <w:rFonts w:eastAsia="MS Gothic" w:cs="Times New Roman"/>
          <w:color w:val="7030A0"/>
        </w:rPr>
        <w:t>, PM</w:t>
      </w:r>
      <w:r w:rsidR="003759EF" w:rsidRPr="00176A31">
        <w:rPr>
          <w:rFonts w:eastAsia="MS Gothic" w:cs="Times New Roman"/>
          <w:color w:val="7030A0"/>
          <w:vertAlign w:val="subscript"/>
        </w:rPr>
        <w:t>10</w:t>
      </w:r>
      <w:r w:rsidR="003759EF" w:rsidRPr="00640D01">
        <w:rPr>
          <w:rFonts w:eastAsia="MS Gothic" w:cs="Times New Roman"/>
          <w:color w:val="7030A0"/>
        </w:rPr>
        <w:t>, etc.</w:t>
      </w:r>
      <w:r w:rsidR="005112F0" w:rsidRPr="00640D01">
        <w:rPr>
          <w:rFonts w:eastAsia="MS Gothic" w:cs="Times New Roman"/>
          <w:color w:val="7030A0"/>
        </w:rPr>
        <w:t>)</w:t>
      </w:r>
      <w:r w:rsidR="003759EF" w:rsidRPr="00640D01">
        <w:rPr>
          <w:rFonts w:eastAsia="MS Gothic" w:cs="Times New Roman"/>
          <w:color w:val="7030A0"/>
        </w:rPr>
        <w:t>]</w:t>
      </w:r>
      <w:r w:rsidR="003759EF" w:rsidRPr="00640D01">
        <w:rPr>
          <w:rFonts w:eastAsia="MS Gothic" w:cs="Times New Roman"/>
        </w:rPr>
        <w:t>.</w:t>
      </w:r>
      <w:r w:rsidR="00514311">
        <w:rPr>
          <w:rFonts w:eastAsia="MS Gothic" w:cs="Times New Roman"/>
        </w:rPr>
        <w:t xml:space="preserve"> The MVEB for the </w:t>
      </w:r>
      <w:r w:rsidR="00514311" w:rsidRPr="00640D01">
        <w:rPr>
          <w:b/>
          <w:bCs/>
          <w:color w:val="C00000"/>
        </w:rPr>
        <w:fldChar w:fldCharType="begin"/>
      </w:r>
      <w:r w:rsidR="00514311" w:rsidRPr="00640D01">
        <w:instrText xml:space="preserve"> REF RegionName \h </w:instrText>
      </w:r>
      <w:r w:rsidR="00514311" w:rsidRPr="00640D01">
        <w:rPr>
          <w:b/>
          <w:bCs/>
          <w:color w:val="C00000"/>
        </w:rPr>
      </w:r>
      <w:r w:rsidR="00514311" w:rsidRPr="00640D01">
        <w:rPr>
          <w:b/>
          <w:bCs/>
          <w:color w:val="C00000"/>
        </w:rPr>
        <w:fldChar w:fldCharType="separate"/>
      </w:r>
      <w:sdt>
        <w:sdtPr>
          <w:rPr>
            <w:b/>
            <w:bCs/>
            <w:color w:val="C00000"/>
          </w:rPr>
          <w:alias w:val="Region Name"/>
          <w:tag w:val="Region Name"/>
          <w:id w:val="2001919940"/>
          <w:placeholder>
            <w:docPart w:val="521F8AF979CC480998CD3FC5EC738F66"/>
          </w:placeholder>
          <w:dropDownList>
            <w:listItem w:displayText="[Region name]" w:value="[Region name]"/>
            <w:listItem w:displayText="Beaumont-Port Arthur" w:value="Beaumont-Port Arthur"/>
            <w:listItem w:displayText="Dallas-Fort Worth" w:value="Dallas-Fort Worth"/>
            <w:listItem w:displayText="El Paso" w:value="El Paso"/>
            <w:listItem w:displayText="Houston-Galveston-Brazoria" w:value="Houston-Galveston-Brazoria"/>
            <w:listItem w:displayText="San Antonio" w:value="San Antonio"/>
          </w:dropDownList>
        </w:sdtPr>
        <w:sdtContent>
          <w:r w:rsidR="00514311">
            <w:rPr>
              <w:b/>
              <w:bCs/>
              <w:color w:val="C00000"/>
            </w:rPr>
            <w:t>[Region name]</w:t>
          </w:r>
        </w:sdtContent>
      </w:sdt>
      <w:r w:rsidR="00514311" w:rsidRPr="00640D01">
        <w:rPr>
          <w:b/>
          <w:bCs/>
          <w:color w:val="C00000"/>
        </w:rPr>
        <w:fldChar w:fldCharType="end"/>
      </w:r>
      <w:r w:rsidR="00514311">
        <w:rPr>
          <w:b/>
          <w:bCs/>
          <w:color w:val="C00000"/>
        </w:rPr>
        <w:t xml:space="preserve"> </w:t>
      </w:r>
      <w:r w:rsidR="00514311" w:rsidRPr="00514311">
        <w:rPr>
          <w:rFonts w:eastAsia="MS Gothic" w:cs="Times New Roman"/>
        </w:rPr>
        <w:t>region</w:t>
      </w:r>
      <w:r w:rsidR="00514311">
        <w:rPr>
          <w:rFonts w:eastAsia="MS Gothic" w:cs="Times New Roman"/>
        </w:rPr>
        <w:t xml:space="preserve"> is summarized in </w:t>
      </w:r>
      <w:r w:rsidR="00514311">
        <w:rPr>
          <w:rFonts w:eastAsia="MS Gothic" w:cs="Times New Roman"/>
        </w:rPr>
        <w:fldChar w:fldCharType="begin"/>
      </w:r>
      <w:r w:rsidR="00514311">
        <w:rPr>
          <w:rFonts w:eastAsia="MS Gothic" w:cs="Times New Roman"/>
        </w:rPr>
        <w:instrText xml:space="preserve"> REF _Ref190182948 \h </w:instrText>
      </w:r>
      <w:r w:rsidR="00514311">
        <w:rPr>
          <w:rFonts w:eastAsia="MS Gothic" w:cs="Times New Roman"/>
        </w:rPr>
      </w:r>
      <w:r w:rsidR="00514311">
        <w:rPr>
          <w:rFonts w:eastAsia="MS Gothic" w:cs="Times New Roman"/>
        </w:rPr>
        <w:fldChar w:fldCharType="separate"/>
      </w:r>
      <w:r w:rsidR="00514311">
        <w:t xml:space="preserve">Table </w:t>
      </w:r>
      <w:r w:rsidR="00514311">
        <w:rPr>
          <w:noProof/>
        </w:rPr>
        <w:t>2</w:t>
      </w:r>
      <w:r w:rsidR="00514311">
        <w:noBreakHyphen/>
      </w:r>
      <w:r w:rsidR="00514311">
        <w:rPr>
          <w:noProof/>
        </w:rPr>
        <w:t>1</w:t>
      </w:r>
      <w:r w:rsidR="00514311">
        <w:rPr>
          <w:rFonts w:eastAsia="MS Gothic" w:cs="Times New Roman"/>
        </w:rPr>
        <w:fldChar w:fldCharType="end"/>
      </w:r>
      <w:r w:rsidR="00514311">
        <w:rPr>
          <w:rFonts w:eastAsia="MS Gothic" w:cs="Times New Roman"/>
        </w:rPr>
        <w:t>.</w:t>
      </w:r>
    </w:p>
    <w:p w14:paraId="7DF8C234" w14:textId="24D3F4A3" w:rsidR="00514311" w:rsidRDefault="00514311" w:rsidP="00514311">
      <w:pPr>
        <w:pStyle w:val="Caption"/>
      </w:pPr>
      <w:bookmarkStart w:id="30" w:name="_Ref190182948"/>
      <w:bookmarkStart w:id="31" w:name="_Toc190183114"/>
      <w:r>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1</w:t>
      </w:r>
      <w:r>
        <w:fldChar w:fldCharType="end"/>
      </w:r>
      <w:bookmarkEnd w:id="30"/>
      <w:r>
        <w:t>. NAAQS and MVEB (Tons/Day)</w:t>
      </w:r>
      <w:bookmarkEnd w:id="31"/>
    </w:p>
    <w:tbl>
      <w:tblPr>
        <w:tblStyle w:val="TTITable"/>
        <w:tblW w:w="0" w:type="auto"/>
        <w:tblLook w:val="04A0" w:firstRow="1" w:lastRow="0" w:firstColumn="1" w:lastColumn="0" w:noHBand="0" w:noVBand="1"/>
      </w:tblPr>
      <w:tblGrid>
        <w:gridCol w:w="1727"/>
        <w:gridCol w:w="1005"/>
        <w:gridCol w:w="1822"/>
      </w:tblGrid>
      <w:tr w:rsidR="009972DB" w:rsidRPr="008D27E7" w14:paraId="202C26AF" w14:textId="77777777" w:rsidTr="008D27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2060"/>
          </w:tcPr>
          <w:p w14:paraId="109B1444" w14:textId="273BBB76" w:rsidR="009972DB" w:rsidRPr="008D27E7" w:rsidRDefault="009972DB" w:rsidP="00C33926">
            <w:pPr>
              <w:pStyle w:val="TableHeader"/>
              <w:rPr>
                <w:b/>
                <w:bCs/>
              </w:rPr>
            </w:pPr>
            <w:r w:rsidRPr="008D27E7">
              <w:rPr>
                <w:b/>
                <w:bCs/>
              </w:rPr>
              <w:t>NAAQS</w:t>
            </w:r>
          </w:p>
        </w:tc>
        <w:tc>
          <w:tcPr>
            <w:tcW w:w="0" w:type="auto"/>
            <w:shd w:val="clear" w:color="auto" w:fill="002060"/>
          </w:tcPr>
          <w:p w14:paraId="03F20950" w14:textId="145053A3" w:rsidR="009972DB" w:rsidRPr="008D27E7" w:rsidRDefault="009972DB" w:rsidP="00C33926">
            <w:pPr>
              <w:pStyle w:val="TableHeader"/>
              <w:cnfStyle w:val="100000000000" w:firstRow="1" w:lastRow="0" w:firstColumn="0" w:lastColumn="0" w:oddVBand="0" w:evenVBand="0" w:oddHBand="0" w:evenHBand="0" w:firstRowFirstColumn="0" w:firstRowLastColumn="0" w:lastRowFirstColumn="0" w:lastRowLastColumn="0"/>
              <w:rPr>
                <w:b/>
                <w:bCs/>
              </w:rPr>
            </w:pPr>
            <w:r w:rsidRPr="008D27E7">
              <w:rPr>
                <w:b/>
                <w:bCs/>
              </w:rPr>
              <w:t>Pollutant</w:t>
            </w:r>
          </w:p>
        </w:tc>
        <w:tc>
          <w:tcPr>
            <w:tcW w:w="0" w:type="auto"/>
            <w:shd w:val="clear" w:color="auto" w:fill="002060"/>
          </w:tcPr>
          <w:p w14:paraId="775C04AC" w14:textId="50810696" w:rsidR="009972DB" w:rsidRPr="008D27E7" w:rsidRDefault="009972DB" w:rsidP="00C33926">
            <w:pPr>
              <w:pStyle w:val="TableHeader"/>
              <w:cnfStyle w:val="100000000000" w:firstRow="1" w:lastRow="0" w:firstColumn="0" w:lastColumn="0" w:oddVBand="0" w:evenVBand="0" w:oddHBand="0" w:evenHBand="0" w:firstRowFirstColumn="0" w:firstRowLastColumn="0" w:lastRowFirstColumn="0" w:lastRowLastColumn="0"/>
              <w:rPr>
                <w:b/>
                <w:bCs/>
              </w:rPr>
            </w:pPr>
            <w:r w:rsidRPr="008D27E7">
              <w:rPr>
                <w:b/>
                <w:bCs/>
              </w:rPr>
              <w:t>MVEB (</w:t>
            </w:r>
            <w:r w:rsidR="00C33926" w:rsidRPr="008D27E7">
              <w:rPr>
                <w:b/>
                <w:bCs/>
              </w:rPr>
              <w:t>Tons/Day</w:t>
            </w:r>
            <w:r w:rsidRPr="008D27E7">
              <w:rPr>
                <w:b/>
                <w:bCs/>
              </w:rPr>
              <w:t>)</w:t>
            </w:r>
          </w:p>
        </w:tc>
      </w:tr>
      <w:tr w:rsidR="009972DB" w:rsidRPr="00640D01" w14:paraId="744C68EF" w14:textId="77777777" w:rsidTr="008D27E7">
        <w:tc>
          <w:tcPr>
            <w:cnfStyle w:val="001000000000" w:firstRow="0" w:lastRow="0" w:firstColumn="1" w:lastColumn="0" w:oddVBand="0" w:evenVBand="0" w:oddHBand="0" w:evenHBand="0" w:firstRowFirstColumn="0" w:firstRowLastColumn="0" w:lastRowFirstColumn="0" w:lastRowLastColumn="0"/>
            <w:tcW w:w="0" w:type="auto"/>
          </w:tcPr>
          <w:p w14:paraId="4D21EE9B" w14:textId="6865EE51" w:rsidR="009972DB" w:rsidRPr="00640D01" w:rsidRDefault="009972DB" w:rsidP="00C33926">
            <w:pPr>
              <w:pStyle w:val="TableText"/>
              <w:rPr>
                <w:color w:val="7030A0"/>
              </w:rPr>
            </w:pPr>
            <w:r w:rsidRPr="00640D01">
              <w:rPr>
                <w:color w:val="7030A0"/>
              </w:rPr>
              <w:t>2008 8-</w:t>
            </w:r>
            <w:r w:rsidR="005112F0" w:rsidRPr="00640D01">
              <w:rPr>
                <w:color w:val="7030A0"/>
              </w:rPr>
              <w:t>hour oz</w:t>
            </w:r>
            <w:r w:rsidRPr="00640D01">
              <w:rPr>
                <w:color w:val="7030A0"/>
              </w:rPr>
              <w:t>one</w:t>
            </w:r>
          </w:p>
        </w:tc>
        <w:tc>
          <w:tcPr>
            <w:tcW w:w="0" w:type="auto"/>
          </w:tcPr>
          <w:p w14:paraId="75C22040" w14:textId="7D205F16" w:rsidR="009972DB" w:rsidRPr="00640D01" w:rsidRDefault="009972DB" w:rsidP="00C33926">
            <w:pPr>
              <w:pStyle w:val="TableText"/>
              <w:cnfStyle w:val="000000000000" w:firstRow="0" w:lastRow="0" w:firstColumn="0" w:lastColumn="0" w:oddVBand="0" w:evenVBand="0" w:oddHBand="0" w:evenHBand="0" w:firstRowFirstColumn="0" w:firstRowLastColumn="0" w:lastRowFirstColumn="0" w:lastRowLastColumn="0"/>
              <w:rPr>
                <w:color w:val="7030A0"/>
              </w:rPr>
            </w:pPr>
            <w:r w:rsidRPr="00640D01">
              <w:rPr>
                <w:color w:val="7030A0"/>
              </w:rPr>
              <w:t>VOC</w:t>
            </w:r>
          </w:p>
        </w:tc>
        <w:tc>
          <w:tcPr>
            <w:tcW w:w="0" w:type="auto"/>
          </w:tcPr>
          <w:p w14:paraId="335C3AE6" w14:textId="77777777" w:rsidR="009972DB" w:rsidRPr="00640D01" w:rsidRDefault="009972DB" w:rsidP="00C33926">
            <w:pPr>
              <w:pStyle w:val="TableText"/>
              <w:cnfStyle w:val="000000000000" w:firstRow="0" w:lastRow="0" w:firstColumn="0" w:lastColumn="0" w:oddVBand="0" w:evenVBand="0" w:oddHBand="0" w:evenHBand="0" w:firstRowFirstColumn="0" w:firstRowLastColumn="0" w:lastRowFirstColumn="0" w:lastRowLastColumn="0"/>
              <w:rPr>
                <w:color w:val="7030A0"/>
              </w:rPr>
            </w:pPr>
            <w:r w:rsidRPr="00640D01">
              <w:rPr>
                <w:color w:val="7030A0"/>
              </w:rPr>
              <w:t>64.91</w:t>
            </w:r>
          </w:p>
        </w:tc>
      </w:tr>
      <w:tr w:rsidR="009972DB" w:rsidRPr="00640D01" w14:paraId="096FE9BC" w14:textId="77777777" w:rsidTr="008D27E7">
        <w:tc>
          <w:tcPr>
            <w:cnfStyle w:val="001000000000" w:firstRow="0" w:lastRow="0" w:firstColumn="1" w:lastColumn="0" w:oddVBand="0" w:evenVBand="0" w:oddHBand="0" w:evenHBand="0" w:firstRowFirstColumn="0" w:firstRowLastColumn="0" w:lastRowFirstColumn="0" w:lastRowLastColumn="0"/>
            <w:tcW w:w="0" w:type="auto"/>
          </w:tcPr>
          <w:p w14:paraId="1FAC79BC" w14:textId="1112B77E" w:rsidR="009972DB" w:rsidRPr="00640D01" w:rsidRDefault="009972DB" w:rsidP="00C33926">
            <w:pPr>
              <w:pStyle w:val="TableText"/>
              <w:rPr>
                <w:color w:val="7030A0"/>
              </w:rPr>
            </w:pPr>
            <w:r w:rsidRPr="00640D01">
              <w:rPr>
                <w:color w:val="7030A0"/>
              </w:rPr>
              <w:t>2008 8-</w:t>
            </w:r>
            <w:r w:rsidR="005112F0" w:rsidRPr="00640D01">
              <w:rPr>
                <w:color w:val="7030A0"/>
              </w:rPr>
              <w:t>hour ozone</w:t>
            </w:r>
          </w:p>
        </w:tc>
        <w:tc>
          <w:tcPr>
            <w:tcW w:w="0" w:type="auto"/>
          </w:tcPr>
          <w:p w14:paraId="36C6DC0B" w14:textId="36E6EF5C" w:rsidR="009972DB" w:rsidRPr="00640D01" w:rsidRDefault="009972DB" w:rsidP="00C33926">
            <w:pPr>
              <w:pStyle w:val="TableText"/>
              <w:cnfStyle w:val="000000000000" w:firstRow="0" w:lastRow="0" w:firstColumn="0" w:lastColumn="0" w:oddVBand="0" w:evenVBand="0" w:oddHBand="0" w:evenHBand="0" w:firstRowFirstColumn="0" w:firstRowLastColumn="0" w:lastRowFirstColumn="0" w:lastRowLastColumn="0"/>
              <w:rPr>
                <w:color w:val="7030A0"/>
              </w:rPr>
            </w:pPr>
            <w:r w:rsidRPr="00640D01">
              <w:rPr>
                <w:color w:val="7030A0"/>
              </w:rPr>
              <w:t>NOx</w:t>
            </w:r>
          </w:p>
        </w:tc>
        <w:tc>
          <w:tcPr>
            <w:tcW w:w="0" w:type="auto"/>
          </w:tcPr>
          <w:p w14:paraId="05F45510" w14:textId="1062F89E" w:rsidR="009972DB" w:rsidRPr="00640D01" w:rsidRDefault="009972DB" w:rsidP="00C33926">
            <w:pPr>
              <w:pStyle w:val="TableText"/>
              <w:cnfStyle w:val="000000000000" w:firstRow="0" w:lastRow="0" w:firstColumn="0" w:lastColumn="0" w:oddVBand="0" w:evenVBand="0" w:oddHBand="0" w:evenHBand="0" w:firstRowFirstColumn="0" w:firstRowLastColumn="0" w:lastRowFirstColumn="0" w:lastRowLastColumn="0"/>
              <w:rPr>
                <w:color w:val="7030A0"/>
              </w:rPr>
            </w:pPr>
            <w:r w:rsidRPr="00640D01">
              <w:rPr>
                <w:color w:val="7030A0"/>
              </w:rPr>
              <w:t>130.77</w:t>
            </w:r>
          </w:p>
        </w:tc>
      </w:tr>
    </w:tbl>
    <w:p w14:paraId="3262A1CB" w14:textId="77777777" w:rsidR="000C515D" w:rsidRPr="00640D01" w:rsidRDefault="000C515D" w:rsidP="00176A31">
      <w:pPr>
        <w:spacing w:after="0" w:line="240" w:lineRule="auto"/>
      </w:pPr>
    </w:p>
    <w:p w14:paraId="7455B397" w14:textId="40BBD918" w:rsidR="00EE6563" w:rsidRPr="00640D01" w:rsidRDefault="00000000" w:rsidP="00C33926">
      <w:pPr>
        <w:pStyle w:val="BodyTextBold"/>
      </w:pPr>
      <w:sdt>
        <w:sdtPr>
          <w:id w:val="1474021560"/>
          <w14:checkbox>
            <w14:checked w14:val="0"/>
            <w14:checkedState w14:val="2612" w14:font="MS Gothic"/>
            <w14:uncheckedState w14:val="2610" w14:font="MS Gothic"/>
          </w14:checkbox>
        </w:sdtPr>
        <w:sdtContent>
          <w:r w:rsidR="000C515D" w:rsidRPr="00640D01">
            <w:rPr>
              <w:rFonts w:ascii="MS Gothic" w:eastAsia="MS Gothic" w:hAnsi="MS Gothic"/>
            </w:rPr>
            <w:t>☐</w:t>
          </w:r>
        </w:sdtContent>
      </w:sdt>
      <w:r w:rsidR="000C515D" w:rsidRPr="00640D01">
        <w:t xml:space="preserve"> For moderate and above ozone nonattainment areas without an adequate or approved SIP MVEB(s)</w:t>
      </w:r>
    </w:p>
    <w:p w14:paraId="32665553" w14:textId="37972D2A" w:rsidR="000C515D" w:rsidRPr="00640D01" w:rsidRDefault="000C515D" w:rsidP="00C33926">
      <w:pPr>
        <w:pStyle w:val="BodyText"/>
      </w:pPr>
      <w:r w:rsidRPr="00640D01">
        <w:t xml:space="preserve">This conformity analysis must satisfy both </w:t>
      </w:r>
      <w:r w:rsidR="005112F0" w:rsidRPr="00640D01">
        <w:t xml:space="preserve">the </w:t>
      </w:r>
      <w:r w:rsidRPr="00640D01">
        <w:t>build/no</w:t>
      </w:r>
      <w:r w:rsidR="005112F0" w:rsidRPr="00640D01">
        <w:t>-</w:t>
      </w:r>
      <w:r w:rsidRPr="00640D01">
        <w:t>build and the less-than-baseline interim emissions tests. For the build/no</w:t>
      </w:r>
      <w:r w:rsidR="005112F0" w:rsidRPr="00640D01">
        <w:t>-</w:t>
      </w:r>
      <w:r w:rsidRPr="00640D01">
        <w:t>build test, the regional transportation network build (or action scenario) emissions for each analysis year must be less than the no</w:t>
      </w:r>
      <w:r w:rsidR="005112F0" w:rsidRPr="00640D01">
        <w:t>-</w:t>
      </w:r>
      <w:r w:rsidRPr="00640D01">
        <w:t xml:space="preserve">build (or baseline scenario) emissions for the analysis year. For the less-than-baseline test, the build (or action scenario) emissions for each analysis year must be less than the </w:t>
      </w:r>
      <w:r w:rsidR="003F5AA6" w:rsidRPr="00640D01">
        <w:t>baseline-</w:t>
      </w:r>
      <w:r w:rsidRPr="00640D01">
        <w:t>year</w:t>
      </w:r>
      <w:r w:rsidRPr="00640D01">
        <w:rPr>
          <w:rStyle w:val="FootnoteReference"/>
        </w:rPr>
        <w:footnoteReference w:id="6"/>
      </w:r>
      <w:r w:rsidRPr="00640D01">
        <w:t xml:space="preserve"> emissions. </w:t>
      </w:r>
    </w:p>
    <w:bookmarkEnd w:id="29"/>
    <w:p w14:paraId="3C648C70" w14:textId="0AD8452A" w:rsidR="006D31CB" w:rsidRDefault="006D31CB" w:rsidP="00C33926">
      <w:pPr>
        <w:pStyle w:val="BodyText"/>
        <w:rPr>
          <w:rFonts w:eastAsia="MS Gothic" w:cs="Times New Roman"/>
        </w:rPr>
      </w:pPr>
      <w:r w:rsidRPr="00640D01">
        <w:t xml:space="preserve">As the </w:t>
      </w:r>
      <w:r w:rsidR="00112EFB" w:rsidRPr="00640D01">
        <w:rPr>
          <w:b/>
          <w:bCs/>
          <w:color w:val="C00000"/>
        </w:rPr>
        <w:fldChar w:fldCharType="begin"/>
      </w:r>
      <w:r w:rsidR="00112EFB" w:rsidRPr="00640D01">
        <w:instrText xml:space="preserve"> REF RegionName \h </w:instrText>
      </w:r>
      <w:r w:rsidR="00112EFB" w:rsidRPr="00640D01">
        <w:rPr>
          <w:b/>
          <w:bCs/>
          <w:color w:val="C00000"/>
        </w:rPr>
      </w:r>
      <w:r w:rsidR="00112EFB" w:rsidRPr="00640D01">
        <w:rPr>
          <w:b/>
          <w:bCs/>
          <w:color w:val="C00000"/>
        </w:rPr>
        <w:fldChar w:fldCharType="separate"/>
      </w:r>
      <w:sdt>
        <w:sdtPr>
          <w:rPr>
            <w:b/>
            <w:bCs/>
            <w:color w:val="C00000"/>
          </w:rPr>
          <w:alias w:val="Region Name"/>
          <w:tag w:val="Region Name"/>
          <w:id w:val="-1110591094"/>
          <w:placeholder>
            <w:docPart w:val="94B6FE4831B449C2B9E91B9637987139"/>
          </w:placeholder>
          <w:dropDownList>
            <w:listItem w:displayText="[Region name]" w:value="[Region name]"/>
            <w:listItem w:displayText="Beaumont-Port Arthur" w:value="Beaumont-Port Arthur"/>
            <w:listItem w:displayText="Dallas-Fort Worth" w:value="Dallas-Fort Worth"/>
            <w:listItem w:displayText="El Paso" w:value="El Paso"/>
            <w:listItem w:displayText="Houston-Galveston-Brazoria" w:value="Houston-Galveston-Brazoria"/>
            <w:listItem w:displayText="San Antonio" w:value="San Antonio"/>
          </w:dropDownList>
        </w:sdtPr>
        <w:sdtContent>
          <w:r w:rsidR="00514311">
            <w:rPr>
              <w:b/>
              <w:bCs/>
              <w:color w:val="C00000"/>
            </w:rPr>
            <w:t>[Region name]</w:t>
          </w:r>
        </w:sdtContent>
      </w:sdt>
      <w:r w:rsidR="00112EFB" w:rsidRPr="00640D01">
        <w:rPr>
          <w:b/>
          <w:bCs/>
          <w:color w:val="C00000"/>
        </w:rPr>
        <w:fldChar w:fldCharType="end"/>
      </w:r>
      <w:r w:rsidR="00514311">
        <w:rPr>
          <w:b/>
          <w:bCs/>
          <w:color w:val="C00000"/>
        </w:rPr>
        <w:t xml:space="preserve"> </w:t>
      </w:r>
      <w:r w:rsidR="0074396E" w:rsidRPr="00640D01">
        <w:t xml:space="preserve">nonattainment area’s </w:t>
      </w:r>
      <w:r w:rsidRPr="00640D01">
        <w:t xml:space="preserve">MPO, </w:t>
      </w:r>
      <w:sdt>
        <w:sdtPr>
          <w:alias w:val="Select MPO"/>
          <w:tag w:val="Select MPO"/>
          <w:id w:val="-1178960681"/>
          <w:placeholder>
            <w:docPart w:val="060893E916134AA28566A43F3E06E20B"/>
          </w:placeholder>
          <w:showingPlcHdr/>
          <w:dropDownList>
            <w:listItem w:value="Choose an item."/>
            <w:listItem w:displayText="AAMPO" w:value="AAMPO"/>
            <w:listItem w:displayText="El Paso MPO" w:value="El Paso MPO"/>
            <w:listItem w:displayText="H-GAC" w:value="H-GAC"/>
            <w:listItem w:displayText="NCTCOG" w:value="NCTCOG"/>
            <w:listItem w:displayText="SETRPC" w:value="SETRPC"/>
          </w:dropDownList>
        </w:sdtPr>
        <w:sdtContent>
          <w:r w:rsidR="00B82961" w:rsidRPr="00640D01">
            <w:rPr>
              <w:rStyle w:val="Style2"/>
            </w:rPr>
            <w:t>[</w:t>
          </w:r>
          <w:r w:rsidR="00B82961" w:rsidRPr="00640D01">
            <w:rPr>
              <w:b/>
              <w:bCs/>
              <w:color w:val="C00000"/>
            </w:rPr>
            <w:t>MPO Name]</w:t>
          </w:r>
        </w:sdtContent>
      </w:sdt>
      <w:r w:rsidR="004F1D44" w:rsidRPr="00640D01">
        <w:t xml:space="preserve"> </w:t>
      </w:r>
      <w:r w:rsidRPr="00640D01">
        <w:t xml:space="preserve">is responsible for conducting the air quality conformity analysis to address the </w:t>
      </w:r>
      <w:r w:rsidR="0074396E" w:rsidRPr="00640D01">
        <w:rPr>
          <w:rFonts w:eastAsia="MS Gothic" w:cs="Times New Roman"/>
          <w:color w:val="7030A0"/>
        </w:rPr>
        <w:t>[</w:t>
      </w:r>
      <w:r w:rsidR="003F5AA6" w:rsidRPr="00640D01">
        <w:rPr>
          <w:rFonts w:eastAsia="MS Gothic" w:cs="Times New Roman"/>
          <w:b/>
          <w:bCs/>
          <w:color w:val="7030A0"/>
        </w:rPr>
        <w:t xml:space="preserve">name </w:t>
      </w:r>
      <w:r w:rsidR="0074396E" w:rsidRPr="00640D01">
        <w:rPr>
          <w:rFonts w:eastAsia="MS Gothic" w:cs="Times New Roman"/>
          <w:b/>
          <w:bCs/>
          <w:color w:val="7030A0"/>
        </w:rPr>
        <w:t>of NAAQS</w:t>
      </w:r>
      <w:r w:rsidR="0074396E" w:rsidRPr="00640D01">
        <w:rPr>
          <w:rFonts w:eastAsia="MS Gothic" w:cs="Times New Roman"/>
          <w:color w:val="7030A0"/>
        </w:rPr>
        <w:t xml:space="preserve"> </w:t>
      </w:r>
      <w:r w:rsidR="005112F0" w:rsidRPr="00640D01">
        <w:rPr>
          <w:rFonts w:eastAsia="MS Gothic" w:cs="Times New Roman"/>
          <w:color w:val="7030A0"/>
        </w:rPr>
        <w:t>(e</w:t>
      </w:r>
      <w:r w:rsidR="0074396E" w:rsidRPr="00640D01">
        <w:rPr>
          <w:rFonts w:eastAsia="MS Gothic" w:cs="Times New Roman"/>
          <w:color w:val="7030A0"/>
        </w:rPr>
        <w:t xml:space="preserve">.g., 2015 </w:t>
      </w:r>
      <w:r w:rsidR="005112F0" w:rsidRPr="00640D01">
        <w:rPr>
          <w:rFonts w:eastAsia="MS Gothic" w:cs="Times New Roman"/>
          <w:color w:val="7030A0"/>
        </w:rPr>
        <w:t>ozone</w:t>
      </w:r>
      <w:r w:rsidR="0074396E" w:rsidRPr="00640D01">
        <w:rPr>
          <w:rFonts w:eastAsia="MS Gothic" w:cs="Times New Roman"/>
          <w:color w:val="7030A0"/>
        </w:rPr>
        <w:t>, PM</w:t>
      </w:r>
      <w:r w:rsidR="0074396E" w:rsidRPr="00176A31">
        <w:rPr>
          <w:rFonts w:eastAsia="MS Gothic" w:cs="Times New Roman"/>
          <w:color w:val="7030A0"/>
          <w:vertAlign w:val="subscript"/>
        </w:rPr>
        <w:t>10</w:t>
      </w:r>
      <w:r w:rsidR="0074396E" w:rsidRPr="00640D01">
        <w:rPr>
          <w:rFonts w:eastAsia="MS Gothic" w:cs="Times New Roman"/>
          <w:color w:val="7030A0"/>
        </w:rPr>
        <w:t>, etc.</w:t>
      </w:r>
      <w:r w:rsidR="005112F0" w:rsidRPr="00640D01">
        <w:rPr>
          <w:rFonts w:eastAsia="MS Gothic" w:cs="Times New Roman"/>
          <w:color w:val="7030A0"/>
        </w:rPr>
        <w:t>)</w:t>
      </w:r>
      <w:r w:rsidR="0074396E" w:rsidRPr="00640D01">
        <w:rPr>
          <w:rFonts w:eastAsia="MS Gothic" w:cs="Times New Roman"/>
          <w:color w:val="7030A0"/>
        </w:rPr>
        <w:t>]</w:t>
      </w:r>
      <w:r w:rsidR="008D27E7">
        <w:rPr>
          <w:rFonts w:eastAsia="MS Gothic" w:cs="Times New Roman"/>
        </w:rPr>
        <w:t>, as listed in Table 2-1.</w:t>
      </w:r>
    </w:p>
    <w:p w14:paraId="67E66978" w14:textId="75DBA8A7" w:rsidR="008D27E7" w:rsidRPr="008D27E7" w:rsidRDefault="008D27E7" w:rsidP="008D27E7">
      <w:pPr>
        <w:pStyle w:val="Caption"/>
      </w:pPr>
      <w:r w:rsidRPr="008D27E7">
        <w:t>Table 2</w:t>
      </w:r>
      <w:r>
        <w:t>-</w:t>
      </w:r>
      <w:r w:rsidRPr="008D27E7">
        <w:t>1. NAAQS and Pollutant</w:t>
      </w:r>
    </w:p>
    <w:tbl>
      <w:tblPr>
        <w:tblStyle w:val="TTITable"/>
        <w:tblW w:w="0" w:type="auto"/>
        <w:tblLook w:val="04A0" w:firstRow="1" w:lastRow="0" w:firstColumn="1" w:lastColumn="0" w:noHBand="0" w:noVBand="1"/>
      </w:tblPr>
      <w:tblGrid>
        <w:gridCol w:w="1727"/>
        <w:gridCol w:w="1005"/>
      </w:tblGrid>
      <w:tr w:rsidR="008D27E7" w:rsidRPr="008D27E7" w14:paraId="436880CD" w14:textId="77777777" w:rsidTr="00320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2060"/>
          </w:tcPr>
          <w:p w14:paraId="1768D44F" w14:textId="77777777" w:rsidR="008D27E7" w:rsidRPr="008D27E7" w:rsidRDefault="008D27E7" w:rsidP="00320325">
            <w:pPr>
              <w:pStyle w:val="TableHeader"/>
              <w:rPr>
                <w:b/>
                <w:bCs/>
              </w:rPr>
            </w:pPr>
            <w:r w:rsidRPr="008D27E7">
              <w:rPr>
                <w:b/>
                <w:bCs/>
              </w:rPr>
              <w:t>NAAQS</w:t>
            </w:r>
          </w:p>
        </w:tc>
        <w:tc>
          <w:tcPr>
            <w:tcW w:w="0" w:type="auto"/>
            <w:shd w:val="clear" w:color="auto" w:fill="002060"/>
          </w:tcPr>
          <w:p w14:paraId="2BA58FD3" w14:textId="77777777" w:rsidR="008D27E7" w:rsidRPr="008D27E7" w:rsidRDefault="008D27E7" w:rsidP="00320325">
            <w:pPr>
              <w:pStyle w:val="TableHeader"/>
              <w:cnfStyle w:val="100000000000" w:firstRow="1" w:lastRow="0" w:firstColumn="0" w:lastColumn="0" w:oddVBand="0" w:evenVBand="0" w:oddHBand="0" w:evenHBand="0" w:firstRowFirstColumn="0" w:firstRowLastColumn="0" w:lastRowFirstColumn="0" w:lastRowLastColumn="0"/>
              <w:rPr>
                <w:b/>
                <w:bCs/>
              </w:rPr>
            </w:pPr>
            <w:r w:rsidRPr="008D27E7">
              <w:rPr>
                <w:b/>
                <w:bCs/>
              </w:rPr>
              <w:t>Pollutant</w:t>
            </w:r>
          </w:p>
        </w:tc>
      </w:tr>
      <w:tr w:rsidR="008D27E7" w:rsidRPr="00640D01" w14:paraId="3FABFE0A" w14:textId="77777777" w:rsidTr="00320325">
        <w:tc>
          <w:tcPr>
            <w:cnfStyle w:val="001000000000" w:firstRow="0" w:lastRow="0" w:firstColumn="1" w:lastColumn="0" w:oddVBand="0" w:evenVBand="0" w:oddHBand="0" w:evenHBand="0" w:firstRowFirstColumn="0" w:firstRowLastColumn="0" w:lastRowFirstColumn="0" w:lastRowLastColumn="0"/>
            <w:tcW w:w="0" w:type="auto"/>
          </w:tcPr>
          <w:p w14:paraId="1B220EF1" w14:textId="77777777" w:rsidR="008D27E7" w:rsidRPr="00640D01" w:rsidRDefault="008D27E7" w:rsidP="00320325">
            <w:pPr>
              <w:pStyle w:val="TableText"/>
              <w:rPr>
                <w:color w:val="7030A0"/>
              </w:rPr>
            </w:pPr>
            <w:r w:rsidRPr="00640D01">
              <w:rPr>
                <w:color w:val="7030A0"/>
              </w:rPr>
              <w:t>2008 8-hour ozone</w:t>
            </w:r>
          </w:p>
        </w:tc>
        <w:tc>
          <w:tcPr>
            <w:tcW w:w="0" w:type="auto"/>
          </w:tcPr>
          <w:p w14:paraId="04A3FE8F" w14:textId="77777777" w:rsidR="008D27E7" w:rsidRPr="00640D01" w:rsidRDefault="008D27E7" w:rsidP="00320325">
            <w:pPr>
              <w:pStyle w:val="TableText"/>
              <w:cnfStyle w:val="000000000000" w:firstRow="0" w:lastRow="0" w:firstColumn="0" w:lastColumn="0" w:oddVBand="0" w:evenVBand="0" w:oddHBand="0" w:evenHBand="0" w:firstRowFirstColumn="0" w:firstRowLastColumn="0" w:lastRowFirstColumn="0" w:lastRowLastColumn="0"/>
              <w:rPr>
                <w:color w:val="7030A0"/>
              </w:rPr>
            </w:pPr>
            <w:r w:rsidRPr="00640D01">
              <w:rPr>
                <w:color w:val="7030A0"/>
              </w:rPr>
              <w:t>VOC</w:t>
            </w:r>
          </w:p>
        </w:tc>
      </w:tr>
      <w:tr w:rsidR="008D27E7" w:rsidRPr="00640D01" w14:paraId="5DA0F86D" w14:textId="77777777" w:rsidTr="00320325">
        <w:tc>
          <w:tcPr>
            <w:cnfStyle w:val="001000000000" w:firstRow="0" w:lastRow="0" w:firstColumn="1" w:lastColumn="0" w:oddVBand="0" w:evenVBand="0" w:oddHBand="0" w:evenHBand="0" w:firstRowFirstColumn="0" w:firstRowLastColumn="0" w:lastRowFirstColumn="0" w:lastRowLastColumn="0"/>
            <w:tcW w:w="0" w:type="auto"/>
          </w:tcPr>
          <w:p w14:paraId="443D9668" w14:textId="77777777" w:rsidR="008D27E7" w:rsidRPr="00640D01" w:rsidRDefault="008D27E7" w:rsidP="00320325">
            <w:pPr>
              <w:pStyle w:val="TableText"/>
              <w:rPr>
                <w:color w:val="7030A0"/>
              </w:rPr>
            </w:pPr>
            <w:r w:rsidRPr="00640D01">
              <w:rPr>
                <w:color w:val="7030A0"/>
              </w:rPr>
              <w:t>2008 8-hour ozone</w:t>
            </w:r>
          </w:p>
        </w:tc>
        <w:tc>
          <w:tcPr>
            <w:tcW w:w="0" w:type="auto"/>
          </w:tcPr>
          <w:p w14:paraId="09BFE648" w14:textId="77777777" w:rsidR="008D27E7" w:rsidRPr="00640D01" w:rsidRDefault="008D27E7" w:rsidP="00320325">
            <w:pPr>
              <w:pStyle w:val="TableText"/>
              <w:cnfStyle w:val="000000000000" w:firstRow="0" w:lastRow="0" w:firstColumn="0" w:lastColumn="0" w:oddVBand="0" w:evenVBand="0" w:oddHBand="0" w:evenHBand="0" w:firstRowFirstColumn="0" w:firstRowLastColumn="0" w:lastRowFirstColumn="0" w:lastRowLastColumn="0"/>
              <w:rPr>
                <w:color w:val="7030A0"/>
              </w:rPr>
            </w:pPr>
            <w:r w:rsidRPr="00640D01">
              <w:rPr>
                <w:color w:val="7030A0"/>
              </w:rPr>
              <w:t>NOx</w:t>
            </w:r>
          </w:p>
        </w:tc>
      </w:tr>
    </w:tbl>
    <w:p w14:paraId="022F1D73" w14:textId="77777777" w:rsidR="009F3DFE" w:rsidRPr="00640D01" w:rsidRDefault="00017A79" w:rsidP="009F3DFE">
      <w:pPr>
        <w:pStyle w:val="Heading3"/>
      </w:pPr>
      <w:bookmarkStart w:id="32" w:name="_Toc190242687"/>
      <w:r w:rsidRPr="00640D01">
        <w:t>Analysis Years</w:t>
      </w:r>
      <w:bookmarkEnd w:id="32"/>
    </w:p>
    <w:p w14:paraId="3973B5EB" w14:textId="7C4E6E1D" w:rsidR="004B3580" w:rsidRPr="00640D01" w:rsidRDefault="00B124ED" w:rsidP="00C33926">
      <w:pPr>
        <w:pStyle w:val="BodyText"/>
      </w:pPr>
      <w:r w:rsidRPr="00640D01">
        <w:t xml:space="preserve">For the emission budget test, according to the conformity rule, </w:t>
      </w:r>
      <w:hyperlink r:id="rId19" w:history="1">
        <w:r w:rsidRPr="00640D01">
          <w:rPr>
            <w:rStyle w:val="Hyperlink"/>
          </w:rPr>
          <w:t>40 CFR 93.106</w:t>
        </w:r>
      </w:hyperlink>
      <w:r w:rsidRPr="00640D01">
        <w:t xml:space="preserve">, the regional emission analysis years should be selected according to the following: </w:t>
      </w:r>
    </w:p>
    <w:p w14:paraId="6B650D2C" w14:textId="202F8785" w:rsidR="004B3580" w:rsidRPr="00640D01" w:rsidRDefault="004B3580" w:rsidP="00C33926">
      <w:pPr>
        <w:pStyle w:val="ListBullet"/>
      </w:pPr>
      <w:r w:rsidRPr="00640D01">
        <w:t>A</w:t>
      </w:r>
      <w:r w:rsidR="00B124ED" w:rsidRPr="00640D01">
        <w:t>ny years within the time</w:t>
      </w:r>
      <w:r w:rsidR="005112F0" w:rsidRPr="00640D01">
        <w:t xml:space="preserve"> </w:t>
      </w:r>
      <w:r w:rsidR="00B124ED" w:rsidRPr="00640D01">
        <w:t xml:space="preserve">frame of the transportation plan, provided they are not more than </w:t>
      </w:r>
      <w:r w:rsidR="005112F0" w:rsidRPr="00640D01">
        <w:t xml:space="preserve">10 </w:t>
      </w:r>
      <w:r w:rsidR="00B124ED" w:rsidRPr="00640D01">
        <w:t>years apart</w:t>
      </w:r>
      <w:r w:rsidRPr="00640D01">
        <w:t>.</w:t>
      </w:r>
    </w:p>
    <w:p w14:paraId="11A3D517" w14:textId="77777777" w:rsidR="004B3580" w:rsidRPr="00640D01" w:rsidRDefault="004B3580" w:rsidP="00C33926">
      <w:pPr>
        <w:pStyle w:val="ListBullet"/>
      </w:pPr>
      <w:r w:rsidRPr="00640D01">
        <w:lastRenderedPageBreak/>
        <w:t>A</w:t>
      </w:r>
      <w:r w:rsidR="00B124ED" w:rsidRPr="00640D01">
        <w:t>ny year with an emission analysis budget</w:t>
      </w:r>
      <w:r w:rsidRPr="00640D01">
        <w:t>.</w:t>
      </w:r>
    </w:p>
    <w:p w14:paraId="3A5B9685" w14:textId="77777777" w:rsidR="004B3580" w:rsidRPr="00640D01" w:rsidRDefault="004B3580" w:rsidP="00C33926">
      <w:pPr>
        <w:pStyle w:val="ListBullet"/>
      </w:pPr>
      <w:r w:rsidRPr="00640D01">
        <w:t>T</w:t>
      </w:r>
      <w:r w:rsidR="00B124ED" w:rsidRPr="00640D01">
        <w:t>he attainment year</w:t>
      </w:r>
      <w:r w:rsidRPr="00640D01">
        <w:t>.</w:t>
      </w:r>
    </w:p>
    <w:p w14:paraId="7E9B15D3" w14:textId="77777777" w:rsidR="002D56C1" w:rsidRPr="00640D01" w:rsidRDefault="004B3580" w:rsidP="00C33926">
      <w:pPr>
        <w:pStyle w:val="ListBullet"/>
      </w:pPr>
      <w:r w:rsidRPr="00640D01">
        <w:t>T</w:t>
      </w:r>
      <w:r w:rsidR="00B124ED" w:rsidRPr="00640D01">
        <w:t xml:space="preserve">he transportation plan horizon year. </w:t>
      </w:r>
    </w:p>
    <w:p w14:paraId="3391A965" w14:textId="456FED62" w:rsidR="009F3DFE" w:rsidRPr="00640D01" w:rsidRDefault="00BA2260" w:rsidP="00C33926">
      <w:pPr>
        <w:pStyle w:val="BodyText"/>
      </w:pPr>
      <w:r w:rsidRPr="00640D01">
        <w:fldChar w:fldCharType="begin"/>
      </w:r>
      <w:r w:rsidRPr="00640D01">
        <w:instrText xml:space="preserve"> REF _Ref189038655 \h </w:instrText>
      </w:r>
      <w:r w:rsidRPr="00640D01">
        <w:fldChar w:fldCharType="separate"/>
      </w:r>
      <w:r w:rsidR="00514311" w:rsidRPr="00640D01">
        <w:t xml:space="preserve">Table </w:t>
      </w:r>
      <w:r w:rsidR="00514311">
        <w:rPr>
          <w:noProof/>
        </w:rPr>
        <w:t>2</w:t>
      </w:r>
      <w:r w:rsidR="00514311">
        <w:noBreakHyphen/>
      </w:r>
      <w:r w:rsidR="00514311">
        <w:rPr>
          <w:noProof/>
        </w:rPr>
        <w:t>2</w:t>
      </w:r>
      <w:r w:rsidRPr="00640D01">
        <w:fldChar w:fldCharType="end"/>
      </w:r>
      <w:r w:rsidRPr="00640D01">
        <w:t xml:space="preserve"> </w:t>
      </w:r>
      <w:r w:rsidR="00B124ED" w:rsidRPr="00640D01">
        <w:t>shows the conformity analysis years and describes their corresponding requirements for calculations.</w:t>
      </w:r>
    </w:p>
    <w:p w14:paraId="1C7DEB49" w14:textId="450C786F" w:rsidR="002D56C1" w:rsidRPr="00640D01" w:rsidRDefault="00BA2260" w:rsidP="00BA2260">
      <w:pPr>
        <w:pStyle w:val="TableCaption"/>
      </w:pPr>
      <w:bookmarkStart w:id="33" w:name="_Ref189038655"/>
      <w:bookmarkStart w:id="34" w:name="_Ref152166443"/>
      <w:bookmarkStart w:id="35" w:name="_Toc190183115"/>
      <w:r w:rsidRPr="00640D01">
        <w:t xml:space="preserve">Table </w:t>
      </w:r>
      <w:r w:rsidR="00514311">
        <w:fldChar w:fldCharType="begin"/>
      </w:r>
      <w:r w:rsidR="00514311">
        <w:instrText xml:space="preserve"> STYLEREF 1 \s </w:instrText>
      </w:r>
      <w:r w:rsidR="00514311">
        <w:fldChar w:fldCharType="separate"/>
      </w:r>
      <w:r w:rsidR="00514311">
        <w:rPr>
          <w:noProof/>
        </w:rPr>
        <w:t>2</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2</w:t>
      </w:r>
      <w:r w:rsidR="00514311">
        <w:fldChar w:fldCharType="end"/>
      </w:r>
      <w:bookmarkEnd w:id="33"/>
      <w:r w:rsidRPr="00640D01">
        <w:t>.</w:t>
      </w:r>
      <w:bookmarkEnd w:id="34"/>
      <w:r w:rsidRPr="00640D01">
        <w:t xml:space="preserve"> </w:t>
      </w:r>
      <w:r w:rsidR="002D56C1" w:rsidRPr="00640D01">
        <w:t>Conformity Analysis Years</w:t>
      </w:r>
      <w:bookmarkEnd w:id="35"/>
    </w:p>
    <w:tbl>
      <w:tblPr>
        <w:tblStyle w:val="TTITable"/>
        <w:tblW w:w="0" w:type="auto"/>
        <w:tblLook w:val="04A0" w:firstRow="1" w:lastRow="0" w:firstColumn="1" w:lastColumn="0" w:noHBand="0" w:noVBand="1"/>
      </w:tblPr>
      <w:tblGrid>
        <w:gridCol w:w="4675"/>
        <w:gridCol w:w="4675"/>
      </w:tblGrid>
      <w:tr w:rsidR="002D56C1" w:rsidRPr="00514311" w14:paraId="0103C988" w14:textId="77777777" w:rsidTr="00514311">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675" w:type="dxa"/>
            <w:shd w:val="clear" w:color="auto" w:fill="002060"/>
          </w:tcPr>
          <w:p w14:paraId="2DEBD8EE" w14:textId="54DE4AA5" w:rsidR="002D56C1" w:rsidRPr="00514311" w:rsidRDefault="002D56C1" w:rsidP="00C33926">
            <w:pPr>
              <w:pStyle w:val="TableHeader"/>
              <w:rPr>
                <w:b/>
                <w:bCs/>
              </w:rPr>
            </w:pPr>
            <w:r w:rsidRPr="00514311">
              <w:rPr>
                <w:b/>
                <w:bCs/>
              </w:rPr>
              <w:t>Requirements</w:t>
            </w:r>
          </w:p>
        </w:tc>
        <w:tc>
          <w:tcPr>
            <w:tcW w:w="4675" w:type="dxa"/>
            <w:shd w:val="clear" w:color="auto" w:fill="002060"/>
          </w:tcPr>
          <w:p w14:paraId="4BEDE8AB" w14:textId="2A16DFF7" w:rsidR="002D56C1" w:rsidRPr="00514311" w:rsidRDefault="002D56C1" w:rsidP="00C33926">
            <w:pPr>
              <w:pStyle w:val="TableHeader"/>
              <w:cnfStyle w:val="100000000000" w:firstRow="1" w:lastRow="0" w:firstColumn="0" w:lastColumn="0" w:oddVBand="0" w:evenVBand="0" w:oddHBand="0" w:evenHBand="0" w:firstRowFirstColumn="0" w:firstRowLastColumn="0" w:lastRowFirstColumn="0" w:lastRowLastColumn="0"/>
              <w:rPr>
                <w:b/>
                <w:bCs/>
              </w:rPr>
            </w:pPr>
            <w:r w:rsidRPr="00514311">
              <w:rPr>
                <w:b/>
                <w:bCs/>
              </w:rPr>
              <w:t>Years</w:t>
            </w:r>
          </w:p>
        </w:tc>
      </w:tr>
      <w:tr w:rsidR="002D56C1" w:rsidRPr="00640D01" w14:paraId="7DA5E562"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675" w:type="dxa"/>
          </w:tcPr>
          <w:p w14:paraId="09571EFB" w14:textId="77777777" w:rsidR="002D56C1" w:rsidRPr="00640D01" w:rsidRDefault="002D56C1" w:rsidP="00C33926">
            <w:pPr>
              <w:pStyle w:val="TableText"/>
            </w:pPr>
          </w:p>
        </w:tc>
        <w:tc>
          <w:tcPr>
            <w:tcW w:w="4675" w:type="dxa"/>
          </w:tcPr>
          <w:p w14:paraId="6E4C3BFA" w14:textId="77777777" w:rsidR="002D56C1" w:rsidRPr="00640D01" w:rsidRDefault="002D56C1" w:rsidP="00C33926">
            <w:pPr>
              <w:pStyle w:val="TableText"/>
              <w:cnfStyle w:val="000000000000" w:firstRow="0" w:lastRow="0" w:firstColumn="0" w:lastColumn="0" w:oddVBand="0" w:evenVBand="0" w:oddHBand="0" w:evenHBand="0" w:firstRowFirstColumn="0" w:firstRowLastColumn="0" w:lastRowFirstColumn="0" w:lastRowLastColumn="0"/>
            </w:pPr>
          </w:p>
        </w:tc>
      </w:tr>
      <w:tr w:rsidR="002D56C1" w:rsidRPr="00640D01" w14:paraId="0E753EB4"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675" w:type="dxa"/>
          </w:tcPr>
          <w:p w14:paraId="605DD710" w14:textId="77777777" w:rsidR="002D56C1" w:rsidRPr="00640D01" w:rsidRDefault="002D56C1" w:rsidP="00C33926">
            <w:pPr>
              <w:pStyle w:val="TableText"/>
            </w:pPr>
          </w:p>
        </w:tc>
        <w:tc>
          <w:tcPr>
            <w:tcW w:w="4675" w:type="dxa"/>
          </w:tcPr>
          <w:p w14:paraId="0B106166" w14:textId="77777777" w:rsidR="002D56C1" w:rsidRPr="00640D01" w:rsidRDefault="002D56C1" w:rsidP="00C33926">
            <w:pPr>
              <w:pStyle w:val="TableText"/>
              <w:cnfStyle w:val="000000000000" w:firstRow="0" w:lastRow="0" w:firstColumn="0" w:lastColumn="0" w:oddVBand="0" w:evenVBand="0" w:oddHBand="0" w:evenHBand="0" w:firstRowFirstColumn="0" w:firstRowLastColumn="0" w:lastRowFirstColumn="0" w:lastRowLastColumn="0"/>
            </w:pPr>
          </w:p>
        </w:tc>
      </w:tr>
      <w:tr w:rsidR="002D56C1" w:rsidRPr="00640D01" w14:paraId="6213393F"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675" w:type="dxa"/>
          </w:tcPr>
          <w:p w14:paraId="42F33F28" w14:textId="77777777" w:rsidR="002D56C1" w:rsidRPr="00640D01" w:rsidRDefault="002D56C1" w:rsidP="00C33926">
            <w:pPr>
              <w:pStyle w:val="TableText"/>
            </w:pPr>
          </w:p>
        </w:tc>
        <w:tc>
          <w:tcPr>
            <w:tcW w:w="4675" w:type="dxa"/>
          </w:tcPr>
          <w:p w14:paraId="08CAAB1D" w14:textId="77777777" w:rsidR="002D56C1" w:rsidRPr="00640D01" w:rsidRDefault="002D56C1" w:rsidP="00C33926">
            <w:pPr>
              <w:pStyle w:val="TableText"/>
              <w:cnfStyle w:val="000000000000" w:firstRow="0" w:lastRow="0" w:firstColumn="0" w:lastColumn="0" w:oddVBand="0" w:evenVBand="0" w:oddHBand="0" w:evenHBand="0" w:firstRowFirstColumn="0" w:firstRowLastColumn="0" w:lastRowFirstColumn="0" w:lastRowLastColumn="0"/>
            </w:pPr>
          </w:p>
        </w:tc>
      </w:tr>
      <w:tr w:rsidR="002D56C1" w:rsidRPr="00640D01" w14:paraId="4443F12F"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675" w:type="dxa"/>
          </w:tcPr>
          <w:p w14:paraId="16880B31" w14:textId="77777777" w:rsidR="002D56C1" w:rsidRPr="00640D01" w:rsidRDefault="002D56C1" w:rsidP="00C33926">
            <w:pPr>
              <w:pStyle w:val="TableText"/>
            </w:pPr>
          </w:p>
        </w:tc>
        <w:tc>
          <w:tcPr>
            <w:tcW w:w="4675" w:type="dxa"/>
          </w:tcPr>
          <w:p w14:paraId="7C222074" w14:textId="77777777" w:rsidR="002D56C1" w:rsidRPr="00640D01" w:rsidRDefault="002D56C1" w:rsidP="00C33926">
            <w:pPr>
              <w:pStyle w:val="TableText"/>
              <w:cnfStyle w:val="000000000000" w:firstRow="0" w:lastRow="0" w:firstColumn="0" w:lastColumn="0" w:oddVBand="0" w:evenVBand="0" w:oddHBand="0" w:evenHBand="0" w:firstRowFirstColumn="0" w:firstRowLastColumn="0" w:lastRowFirstColumn="0" w:lastRowLastColumn="0"/>
            </w:pPr>
          </w:p>
        </w:tc>
      </w:tr>
    </w:tbl>
    <w:p w14:paraId="30984BAB" w14:textId="1938D367" w:rsidR="00B012D5" w:rsidRPr="00640D01" w:rsidRDefault="00017A79" w:rsidP="00176A31">
      <w:pPr>
        <w:pStyle w:val="Heading2"/>
        <w:spacing w:before="240"/>
      </w:pPr>
      <w:bookmarkStart w:id="36" w:name="_Toc189209043"/>
      <w:bookmarkStart w:id="37" w:name="_Toc189209138"/>
      <w:bookmarkStart w:id="38" w:name="_Toc190242688"/>
      <w:bookmarkEnd w:id="36"/>
      <w:bookmarkEnd w:id="37"/>
      <w:r w:rsidRPr="00640D01">
        <w:t>Checklist</w:t>
      </w:r>
      <w:bookmarkEnd w:id="38"/>
    </w:p>
    <w:p w14:paraId="568A5282" w14:textId="7B02CD63" w:rsidR="00017A79" w:rsidRPr="00640D01" w:rsidRDefault="00BA2260" w:rsidP="00C33926">
      <w:pPr>
        <w:pStyle w:val="BodyText"/>
      </w:pPr>
      <w:r w:rsidRPr="00640D01">
        <w:fldChar w:fldCharType="begin"/>
      </w:r>
      <w:r w:rsidRPr="00640D01">
        <w:instrText xml:space="preserve"> REF _Ref189038667 \h </w:instrText>
      </w:r>
      <w:r w:rsidRPr="00640D01">
        <w:fldChar w:fldCharType="separate"/>
      </w:r>
      <w:r w:rsidR="00514311" w:rsidRPr="00640D01">
        <w:t xml:space="preserve">Table </w:t>
      </w:r>
      <w:r w:rsidR="00514311">
        <w:rPr>
          <w:noProof/>
        </w:rPr>
        <w:t>2</w:t>
      </w:r>
      <w:r w:rsidR="00514311">
        <w:noBreakHyphen/>
      </w:r>
      <w:r w:rsidR="00514311">
        <w:rPr>
          <w:noProof/>
        </w:rPr>
        <w:t>3</w:t>
      </w:r>
      <w:r w:rsidRPr="00640D01">
        <w:fldChar w:fldCharType="end"/>
      </w:r>
      <w:r w:rsidRPr="00640D01">
        <w:t xml:space="preserve"> </w:t>
      </w:r>
      <w:r w:rsidR="00632E16" w:rsidRPr="00640D01">
        <w:t>s</w:t>
      </w:r>
      <w:r w:rsidR="00241A6E" w:rsidRPr="00640D01">
        <w:t>how</w:t>
      </w:r>
      <w:r w:rsidR="00684C90" w:rsidRPr="00640D01">
        <w:t>s</w:t>
      </w:r>
      <w:r w:rsidR="00241A6E" w:rsidRPr="00640D01">
        <w:t xml:space="preserve"> the checklist detailing information relevant to this conformity document.</w:t>
      </w:r>
    </w:p>
    <w:p w14:paraId="3DFA9A02" w14:textId="0E1E6BE0" w:rsidR="00632E16" w:rsidRPr="00640D01" w:rsidRDefault="00BA2260" w:rsidP="00C33926">
      <w:pPr>
        <w:pStyle w:val="TableCaption"/>
      </w:pPr>
      <w:bookmarkStart w:id="39" w:name="_Ref189038667"/>
      <w:bookmarkStart w:id="40" w:name="_Ref152168986"/>
      <w:bookmarkStart w:id="41" w:name="_Toc190183116"/>
      <w:r w:rsidRPr="00640D01">
        <w:t xml:space="preserve">Table </w:t>
      </w:r>
      <w:r w:rsidR="00514311">
        <w:fldChar w:fldCharType="begin"/>
      </w:r>
      <w:r w:rsidR="00514311">
        <w:instrText xml:space="preserve"> STYLEREF 1 \s </w:instrText>
      </w:r>
      <w:r w:rsidR="00514311">
        <w:fldChar w:fldCharType="separate"/>
      </w:r>
      <w:r w:rsidR="00514311">
        <w:rPr>
          <w:noProof/>
        </w:rPr>
        <w:t>2</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3</w:t>
      </w:r>
      <w:r w:rsidR="00514311">
        <w:fldChar w:fldCharType="end"/>
      </w:r>
      <w:bookmarkEnd w:id="39"/>
      <w:r w:rsidRPr="00640D01">
        <w:t xml:space="preserve">. </w:t>
      </w:r>
      <w:bookmarkEnd w:id="40"/>
      <w:r w:rsidR="00632E16" w:rsidRPr="00640D01">
        <w:t xml:space="preserve">Checklist of Items </w:t>
      </w:r>
      <w:r w:rsidR="00684C90" w:rsidRPr="00640D01">
        <w:t>R</w:t>
      </w:r>
      <w:r w:rsidR="00632E16" w:rsidRPr="00640D01">
        <w:t xml:space="preserve">equired in </w:t>
      </w:r>
      <w:r w:rsidR="00C33926" w:rsidRPr="00640D01">
        <w:t>T</w:t>
      </w:r>
      <w:r w:rsidR="00632E16" w:rsidRPr="00640D01">
        <w:t>his Conformity Review</w:t>
      </w:r>
      <w:bookmarkEnd w:id="41"/>
    </w:p>
    <w:tbl>
      <w:tblPr>
        <w:tblStyle w:val="TTITable"/>
        <w:tblW w:w="0" w:type="auto"/>
        <w:tblLook w:val="04A0" w:firstRow="1" w:lastRow="0" w:firstColumn="1" w:lastColumn="0" w:noHBand="0" w:noVBand="1"/>
      </w:tblPr>
      <w:tblGrid>
        <w:gridCol w:w="3325"/>
        <w:gridCol w:w="1673"/>
        <w:gridCol w:w="1875"/>
        <w:gridCol w:w="2477"/>
      </w:tblGrid>
      <w:tr w:rsidR="00B94D28" w:rsidRPr="00514311" w14:paraId="38FDEA6A" w14:textId="77777777" w:rsidTr="0051431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shd w:val="clear" w:color="auto" w:fill="002060"/>
          </w:tcPr>
          <w:p w14:paraId="3686B16C" w14:textId="747BA1A3" w:rsidR="00B94D28" w:rsidRPr="00514311" w:rsidRDefault="00B94D28" w:rsidP="00514311">
            <w:pPr>
              <w:pStyle w:val="TableHeader"/>
              <w:keepNext w:val="0"/>
              <w:rPr>
                <w:b/>
                <w:bCs/>
              </w:rPr>
            </w:pPr>
            <w:r w:rsidRPr="00514311">
              <w:rPr>
                <w:b/>
                <w:bCs/>
              </w:rPr>
              <w:t>Item</w:t>
            </w:r>
          </w:p>
        </w:tc>
        <w:tc>
          <w:tcPr>
            <w:tcW w:w="1673" w:type="dxa"/>
            <w:shd w:val="clear" w:color="auto" w:fill="002060"/>
          </w:tcPr>
          <w:p w14:paraId="6851418A" w14:textId="227C62E4" w:rsidR="00B94D28" w:rsidRPr="00514311" w:rsidRDefault="00B94D28" w:rsidP="00514311">
            <w:pPr>
              <w:pStyle w:val="TableHeader"/>
              <w:keepNext w:val="0"/>
              <w:cnfStyle w:val="100000000000" w:firstRow="1" w:lastRow="0" w:firstColumn="0" w:lastColumn="0" w:oddVBand="0" w:evenVBand="0" w:oddHBand="0" w:evenHBand="0" w:firstRowFirstColumn="0" w:firstRowLastColumn="0" w:lastRowFirstColumn="0" w:lastRowLastColumn="0"/>
              <w:rPr>
                <w:b/>
                <w:bCs/>
              </w:rPr>
            </w:pPr>
            <w:r w:rsidRPr="00514311">
              <w:rPr>
                <w:b/>
                <w:bCs/>
              </w:rPr>
              <w:t>Regulation Referenced</w:t>
            </w:r>
          </w:p>
        </w:tc>
        <w:tc>
          <w:tcPr>
            <w:tcW w:w="1875" w:type="dxa"/>
            <w:shd w:val="clear" w:color="auto" w:fill="002060"/>
          </w:tcPr>
          <w:p w14:paraId="104C4C03" w14:textId="656681D0" w:rsidR="00B94D28" w:rsidRPr="00514311" w:rsidRDefault="00632E16" w:rsidP="00514311">
            <w:pPr>
              <w:pStyle w:val="TableHeader"/>
              <w:keepNext w:val="0"/>
              <w:cnfStyle w:val="100000000000" w:firstRow="1" w:lastRow="0" w:firstColumn="0" w:lastColumn="0" w:oddVBand="0" w:evenVBand="0" w:oddHBand="0" w:evenHBand="0" w:firstRowFirstColumn="0" w:firstRowLastColumn="0" w:lastRowFirstColumn="0" w:lastRowLastColumn="0"/>
              <w:rPr>
                <w:b/>
                <w:bCs/>
              </w:rPr>
            </w:pPr>
            <w:r w:rsidRPr="00514311">
              <w:rPr>
                <w:b/>
                <w:bCs/>
              </w:rPr>
              <w:t>Item Format</w:t>
            </w:r>
          </w:p>
        </w:tc>
        <w:tc>
          <w:tcPr>
            <w:tcW w:w="2477" w:type="dxa"/>
            <w:shd w:val="clear" w:color="auto" w:fill="002060"/>
          </w:tcPr>
          <w:p w14:paraId="5A0CD2C0" w14:textId="7AA59AA4" w:rsidR="00B94D28" w:rsidRPr="00514311" w:rsidRDefault="00632E16" w:rsidP="00514311">
            <w:pPr>
              <w:pStyle w:val="TableHeader"/>
              <w:keepNext w:val="0"/>
              <w:cnfStyle w:val="100000000000" w:firstRow="1" w:lastRow="0" w:firstColumn="0" w:lastColumn="0" w:oddVBand="0" w:evenVBand="0" w:oddHBand="0" w:evenHBand="0" w:firstRowFirstColumn="0" w:firstRowLastColumn="0" w:lastRowFirstColumn="0" w:lastRowLastColumn="0"/>
              <w:rPr>
                <w:b/>
                <w:bCs/>
              </w:rPr>
            </w:pPr>
            <w:r w:rsidRPr="00514311">
              <w:rPr>
                <w:b/>
                <w:bCs/>
              </w:rPr>
              <w:t>Location within Report</w:t>
            </w:r>
          </w:p>
        </w:tc>
      </w:tr>
      <w:tr w:rsidR="00B94D28" w:rsidRPr="00640D01" w14:paraId="713CD824"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0561AC40" w14:textId="4B9F495E" w:rsidR="00B94D28" w:rsidRPr="00640D01" w:rsidRDefault="00D231FC" w:rsidP="00514311">
            <w:pPr>
              <w:pStyle w:val="TableText"/>
              <w:keepNext w:val="0"/>
              <w:rPr>
                <w:rFonts w:cs="Times New Roman"/>
                <w:b/>
                <w:bCs w:val="0"/>
              </w:rPr>
            </w:pPr>
            <w:r w:rsidRPr="00640D01">
              <w:rPr>
                <w:b/>
                <w:color w:val="C00000"/>
              </w:rPr>
              <w:fldChar w:fldCharType="begin"/>
            </w:r>
            <w:r w:rsidRPr="00640D01">
              <w:rPr>
                <w:rFonts w:cs="Times New Roman"/>
                <w:b/>
                <w:color w:val="C00000"/>
              </w:rPr>
              <w:instrText xml:space="preserve"> REF MTPRTP \h </w:instrText>
            </w:r>
            <w:r w:rsidR="00C33926" w:rsidRPr="00640D01">
              <w:rPr>
                <w:b/>
                <w:color w:val="C00000"/>
              </w:rPr>
              <w:instrText xml:space="preserve"> \* MERGEFORMAT </w:instrText>
            </w:r>
            <w:r w:rsidRPr="00640D01">
              <w:rPr>
                <w:b/>
                <w:color w:val="C00000"/>
              </w:rPr>
            </w:r>
            <w:r w:rsidRPr="00640D01">
              <w:rPr>
                <w:b/>
                <w:color w:val="C00000"/>
              </w:rPr>
              <w:fldChar w:fldCharType="separate"/>
            </w:r>
            <w:r w:rsidR="00514311" w:rsidRPr="00640D01">
              <w:rPr>
                <w:b/>
                <w:color w:val="C00000"/>
              </w:rPr>
              <w:t>[Name of RTP/MTP]</w:t>
            </w:r>
            <w:r w:rsidRPr="00640D01">
              <w:rPr>
                <w:b/>
                <w:color w:val="C00000"/>
              </w:rPr>
              <w:fldChar w:fldCharType="end"/>
            </w:r>
          </w:p>
        </w:tc>
        <w:tc>
          <w:tcPr>
            <w:tcW w:w="1673" w:type="dxa"/>
          </w:tcPr>
          <w:p w14:paraId="0F19BEF0" w14:textId="45FC2D6B" w:rsidR="00B94D28" w:rsidRPr="00640D01" w:rsidRDefault="005F1977"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Part 93 Subpart A</w:t>
            </w:r>
          </w:p>
        </w:tc>
        <w:tc>
          <w:tcPr>
            <w:tcW w:w="1875" w:type="dxa"/>
          </w:tcPr>
          <w:p w14:paraId="69BEACB1" w14:textId="14BB6861" w:rsidR="00B94D28" w:rsidRPr="00640D01" w:rsidRDefault="0043717C"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Independent self-supporting document (electronic file)</w:t>
            </w:r>
          </w:p>
        </w:tc>
        <w:tc>
          <w:tcPr>
            <w:tcW w:w="2477" w:type="dxa"/>
          </w:tcPr>
          <w:p w14:paraId="52F3E248" w14:textId="704C6AEF" w:rsidR="00B94D28" w:rsidRPr="00640D01" w:rsidRDefault="00A40E5C"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640D01">
              <w:t xml:space="preserve">Link as listed in </w:t>
            </w:r>
            <w:r w:rsidR="00D1751B" w:rsidRPr="00176A31">
              <w:fldChar w:fldCharType="begin"/>
            </w:r>
            <w:r w:rsidR="00D1751B" w:rsidRPr="00176A31">
              <w:instrText xml:space="preserve"> REF _Ref159507006 \h  \* MERGEFORMAT </w:instrText>
            </w:r>
            <w:r w:rsidR="00D1751B" w:rsidRPr="00176A31">
              <w:fldChar w:fldCharType="separate"/>
            </w:r>
            <w:r w:rsidR="00514311" w:rsidRPr="00640D01">
              <w:t>Appendix B—RTP/MTP</w:t>
            </w:r>
            <w:r w:rsidR="00D1751B" w:rsidRPr="00176A31">
              <w:fldChar w:fldCharType="end"/>
            </w:r>
          </w:p>
        </w:tc>
      </w:tr>
      <w:tr w:rsidR="00EF7FCE" w:rsidRPr="00640D01" w14:paraId="6726A4A1"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463CE42C" w14:textId="6A5FA27B" w:rsidR="00EF7FCE" w:rsidRPr="00640D01" w:rsidRDefault="00D231FC" w:rsidP="00514311">
            <w:pPr>
              <w:pStyle w:val="TableText"/>
              <w:keepNext w:val="0"/>
              <w:rPr>
                <w:rFonts w:cs="Times New Roman"/>
                <w:b/>
                <w:bCs w:val="0"/>
              </w:rPr>
            </w:pPr>
            <w:r w:rsidRPr="00640D01">
              <w:rPr>
                <w:b/>
                <w:color w:val="C00000"/>
              </w:rPr>
              <w:fldChar w:fldCharType="begin"/>
            </w:r>
            <w:r w:rsidRPr="00640D01">
              <w:rPr>
                <w:rFonts w:cs="Times New Roman"/>
                <w:b/>
                <w:color w:val="C00000"/>
              </w:rPr>
              <w:instrText xml:space="preserve"> REF TIPName \h </w:instrText>
            </w:r>
            <w:r w:rsidR="00C33926" w:rsidRPr="00640D01">
              <w:rPr>
                <w:b/>
                <w:color w:val="C00000"/>
              </w:rPr>
              <w:instrText xml:space="preserve"> \* MERGEFORMAT </w:instrText>
            </w:r>
            <w:r w:rsidRPr="00640D01">
              <w:rPr>
                <w:b/>
                <w:color w:val="C00000"/>
              </w:rPr>
            </w:r>
            <w:r w:rsidRPr="00640D01">
              <w:rPr>
                <w:b/>
                <w:color w:val="C00000"/>
              </w:rPr>
              <w:fldChar w:fldCharType="separate"/>
            </w:r>
            <w:r w:rsidR="00514311" w:rsidRPr="00640D01">
              <w:rPr>
                <w:b/>
                <w:color w:val="C00000"/>
              </w:rPr>
              <w:t>[Name of TIP]</w:t>
            </w:r>
            <w:r w:rsidRPr="00640D01">
              <w:rPr>
                <w:b/>
                <w:color w:val="C00000"/>
              </w:rPr>
              <w:fldChar w:fldCharType="end"/>
            </w:r>
          </w:p>
        </w:tc>
        <w:tc>
          <w:tcPr>
            <w:tcW w:w="1673" w:type="dxa"/>
          </w:tcPr>
          <w:p w14:paraId="290A5902" w14:textId="5FFD5AD4" w:rsidR="00EF7FCE" w:rsidRPr="00640D01" w:rsidRDefault="00EF7FCE"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Part 93 Subpart A</w:t>
            </w:r>
          </w:p>
        </w:tc>
        <w:tc>
          <w:tcPr>
            <w:tcW w:w="1875" w:type="dxa"/>
          </w:tcPr>
          <w:p w14:paraId="0D056038" w14:textId="38692318" w:rsidR="00EF7FCE" w:rsidRPr="00640D01" w:rsidRDefault="0043717C"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Independent self-supporting document (electronic file)</w:t>
            </w:r>
          </w:p>
        </w:tc>
        <w:tc>
          <w:tcPr>
            <w:tcW w:w="2477" w:type="dxa"/>
          </w:tcPr>
          <w:p w14:paraId="22490A8E" w14:textId="0183D0F5" w:rsidR="00EF7FCE" w:rsidRPr="00640D01" w:rsidRDefault="00A40E5C"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640D01">
              <w:t xml:space="preserve">Link as listed in </w:t>
            </w:r>
            <w:r w:rsidR="00D1751B" w:rsidRPr="00176A31">
              <w:fldChar w:fldCharType="begin"/>
            </w:r>
            <w:r w:rsidR="00D1751B" w:rsidRPr="00176A31">
              <w:instrText xml:space="preserve"> REF _Ref159507006 \h  \* MERGEFORMAT </w:instrText>
            </w:r>
            <w:r w:rsidR="00D1751B" w:rsidRPr="00176A31">
              <w:fldChar w:fldCharType="separate"/>
            </w:r>
            <w:r w:rsidR="00514311" w:rsidRPr="00640D01">
              <w:t>Appendix B—RTP/MTP</w:t>
            </w:r>
            <w:r w:rsidR="00D1751B" w:rsidRPr="00176A31">
              <w:fldChar w:fldCharType="end"/>
            </w:r>
          </w:p>
        </w:tc>
      </w:tr>
      <w:tr w:rsidR="00EF7FCE" w:rsidRPr="00640D01" w14:paraId="18AB825F"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5086936C" w14:textId="15245389" w:rsidR="00EF7FCE" w:rsidRPr="00640D01" w:rsidRDefault="00EE4304" w:rsidP="00514311">
            <w:pPr>
              <w:pStyle w:val="TableText"/>
              <w:keepNext w:val="0"/>
              <w:rPr>
                <w:rFonts w:cs="Times New Roman"/>
                <w:b/>
                <w:bCs w:val="0"/>
              </w:rPr>
            </w:pPr>
            <w:r w:rsidRPr="00640D01">
              <w:rPr>
                <w:rFonts w:cs="Times New Roman"/>
                <w:b/>
                <w:color w:val="7030A0"/>
              </w:rPr>
              <w:t>[Conformity document name]</w:t>
            </w:r>
          </w:p>
        </w:tc>
        <w:tc>
          <w:tcPr>
            <w:tcW w:w="1673" w:type="dxa"/>
          </w:tcPr>
          <w:p w14:paraId="55D27564" w14:textId="2C315C4C" w:rsidR="00EF7FCE" w:rsidRPr="00640D01" w:rsidRDefault="00EF7FCE"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Part 93 Subpart A</w:t>
            </w:r>
          </w:p>
        </w:tc>
        <w:tc>
          <w:tcPr>
            <w:tcW w:w="1875" w:type="dxa"/>
          </w:tcPr>
          <w:p w14:paraId="05EE7165" w14:textId="67C7207B" w:rsidR="00EF7FCE" w:rsidRPr="00640D01" w:rsidRDefault="0043717C"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Independent self-supporting document (electronic file)</w:t>
            </w:r>
          </w:p>
        </w:tc>
        <w:tc>
          <w:tcPr>
            <w:tcW w:w="2477" w:type="dxa"/>
          </w:tcPr>
          <w:p w14:paraId="2780F108" w14:textId="64199303" w:rsidR="00EF7FCE" w:rsidRPr="00640D01" w:rsidRDefault="00023729"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This </w:t>
            </w:r>
            <w:r w:rsidR="0043717C" w:rsidRPr="00640D01">
              <w:rPr>
                <w:rFonts w:cs="Times New Roman"/>
              </w:rPr>
              <w:t>document</w:t>
            </w:r>
          </w:p>
        </w:tc>
      </w:tr>
      <w:tr w:rsidR="00B94D28" w:rsidRPr="00640D01" w14:paraId="6D157D76"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14710BB6" w14:textId="7E72BADE" w:rsidR="00B94D28" w:rsidRPr="00640D01" w:rsidRDefault="00CB4A45" w:rsidP="00514311">
            <w:pPr>
              <w:pStyle w:val="TableText"/>
              <w:keepNext w:val="0"/>
              <w:rPr>
                <w:rFonts w:cs="Times New Roman"/>
              </w:rPr>
            </w:pPr>
            <w:r w:rsidRPr="00640D01">
              <w:rPr>
                <w:rFonts w:cs="Times New Roman"/>
              </w:rPr>
              <w:t xml:space="preserve">Description of </w:t>
            </w:r>
            <w:r w:rsidR="0043717C" w:rsidRPr="00640D01">
              <w:rPr>
                <w:rFonts w:cs="Times New Roman"/>
              </w:rPr>
              <w:t xml:space="preserve">version </w:t>
            </w:r>
            <w:r w:rsidRPr="00640D01">
              <w:rPr>
                <w:rFonts w:cs="Times New Roman"/>
              </w:rPr>
              <w:t xml:space="preserve">of MOVES </w:t>
            </w:r>
            <w:r w:rsidR="0043717C" w:rsidRPr="00640D01">
              <w:rPr>
                <w:rFonts w:cs="Times New Roman"/>
              </w:rPr>
              <w:t>model being used</w:t>
            </w:r>
          </w:p>
        </w:tc>
        <w:tc>
          <w:tcPr>
            <w:tcW w:w="1673" w:type="dxa"/>
          </w:tcPr>
          <w:p w14:paraId="4FDAFB24" w14:textId="4429D25A" w:rsidR="00B94D28" w:rsidRPr="00640D01" w:rsidRDefault="00B53E41"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40 CFR 93.111</w:t>
            </w:r>
          </w:p>
        </w:tc>
        <w:tc>
          <w:tcPr>
            <w:tcW w:w="1875" w:type="dxa"/>
          </w:tcPr>
          <w:p w14:paraId="1EE16C7F" w14:textId="45DF9EF0" w:rsidR="00B94D28" w:rsidRPr="00640D01" w:rsidRDefault="00CB4A45"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Discussion </w:t>
            </w:r>
            <w:r w:rsidR="0043717C" w:rsidRPr="00640D01">
              <w:rPr>
                <w:rFonts w:cs="Times New Roman"/>
              </w:rPr>
              <w:t>contained in conformity document</w:t>
            </w:r>
          </w:p>
        </w:tc>
        <w:tc>
          <w:tcPr>
            <w:tcW w:w="2477" w:type="dxa"/>
          </w:tcPr>
          <w:p w14:paraId="490C0480" w14:textId="73624357" w:rsidR="00B94D28" w:rsidRPr="00640D01" w:rsidRDefault="00180B75"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Chapter 5.1</w:t>
            </w:r>
          </w:p>
        </w:tc>
      </w:tr>
      <w:tr w:rsidR="00B94D28" w:rsidRPr="00640D01" w14:paraId="6B429B3D"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6C7B0556" w14:textId="3308BF2A" w:rsidR="00B94D28" w:rsidRPr="00640D01" w:rsidRDefault="00CB4A45" w:rsidP="00514311">
            <w:pPr>
              <w:pStyle w:val="TableText"/>
              <w:keepNext w:val="0"/>
              <w:rPr>
                <w:rFonts w:cs="Times New Roman"/>
              </w:rPr>
            </w:pPr>
            <w:r w:rsidRPr="00640D01">
              <w:rPr>
                <w:rFonts w:cs="Times New Roman"/>
              </w:rPr>
              <w:t xml:space="preserve">MOVES </w:t>
            </w:r>
            <w:r w:rsidR="0043717C" w:rsidRPr="00640D01">
              <w:rPr>
                <w:rFonts w:cs="Times New Roman"/>
              </w:rPr>
              <w:t>input and output files</w:t>
            </w:r>
          </w:p>
        </w:tc>
        <w:tc>
          <w:tcPr>
            <w:tcW w:w="1673" w:type="dxa"/>
          </w:tcPr>
          <w:p w14:paraId="46889C9E" w14:textId="77777777" w:rsidR="00B94D28" w:rsidRPr="00640D01" w:rsidRDefault="00B94D28"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01ED344A" w14:textId="7C63E9F5" w:rsidR="00B94D28" w:rsidRPr="00640D01" w:rsidRDefault="00313025"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Electronic (ASCII or txt </w:t>
            </w:r>
            <w:r w:rsidR="0043717C" w:rsidRPr="00640D01">
              <w:rPr>
                <w:rFonts w:cs="Times New Roman"/>
              </w:rPr>
              <w:t>file format</w:t>
            </w:r>
            <w:r w:rsidRPr="00640D01">
              <w:rPr>
                <w:rFonts w:cs="Times New Roman"/>
              </w:rPr>
              <w:t>)</w:t>
            </w:r>
          </w:p>
        </w:tc>
        <w:tc>
          <w:tcPr>
            <w:tcW w:w="2477" w:type="dxa"/>
          </w:tcPr>
          <w:p w14:paraId="03FBBB07" w14:textId="23E7913B" w:rsidR="00B94D28" w:rsidRPr="00176A31" w:rsidRDefault="0083511D"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Appendix Section </w:t>
            </w:r>
            <w:r w:rsidR="006E2089" w:rsidRPr="00176A31">
              <w:rPr>
                <w:rFonts w:cs="Times New Roman"/>
              </w:rPr>
              <w:fldChar w:fldCharType="begin"/>
            </w:r>
            <w:r w:rsidR="006E2089" w:rsidRPr="00176A31">
              <w:rPr>
                <w:rFonts w:cs="Times New Roman"/>
              </w:rPr>
              <w:instrText xml:space="preserve"> REF _Ref159506768 \h  \* MERGEFORMAT </w:instrText>
            </w:r>
            <w:r w:rsidR="006E2089" w:rsidRPr="00176A31">
              <w:rPr>
                <w:rFonts w:cs="Times New Roman"/>
              </w:rPr>
            </w:r>
            <w:r w:rsidR="006E2089" w:rsidRPr="00176A31">
              <w:rPr>
                <w:rFonts w:cs="Times New Roman"/>
              </w:rPr>
              <w:fldChar w:fldCharType="separate"/>
            </w:r>
            <w:r w:rsidR="00514311" w:rsidRPr="00640D01">
              <w:t>D.1 MOVES Input and Output</w:t>
            </w:r>
            <w:r w:rsidR="006E2089" w:rsidRPr="00176A31">
              <w:rPr>
                <w:rFonts w:cs="Times New Roman"/>
              </w:rPr>
              <w:fldChar w:fldCharType="end"/>
            </w:r>
          </w:p>
        </w:tc>
      </w:tr>
      <w:tr w:rsidR="00313025" w:rsidRPr="00640D01" w14:paraId="3DE1CE45"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069AA7C9" w14:textId="7CFE424E" w:rsidR="00313025" w:rsidRPr="00640D01" w:rsidRDefault="00313025" w:rsidP="00514311">
            <w:pPr>
              <w:pStyle w:val="TableText"/>
              <w:keepNext w:val="0"/>
              <w:rPr>
                <w:rFonts w:cs="Times New Roman"/>
              </w:rPr>
            </w:pPr>
            <w:r w:rsidRPr="00640D01">
              <w:rPr>
                <w:rFonts w:cs="Times New Roman"/>
              </w:rPr>
              <w:t xml:space="preserve">MOVES </w:t>
            </w:r>
            <w:r w:rsidR="0043717C" w:rsidRPr="00640D01">
              <w:rPr>
                <w:rFonts w:cs="Times New Roman"/>
              </w:rPr>
              <w:t>emission factors</w:t>
            </w:r>
          </w:p>
        </w:tc>
        <w:tc>
          <w:tcPr>
            <w:tcW w:w="1673" w:type="dxa"/>
          </w:tcPr>
          <w:p w14:paraId="7623861C" w14:textId="77777777" w:rsidR="00313025" w:rsidRPr="00640D01" w:rsidRDefault="00313025"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4BDCD3F0" w14:textId="374028E1" w:rsidR="00313025" w:rsidRPr="00640D01" w:rsidRDefault="00313025"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Electronic (ASCII or txt </w:t>
            </w:r>
            <w:r w:rsidR="0043717C" w:rsidRPr="00640D01">
              <w:rPr>
                <w:rFonts w:cs="Times New Roman"/>
              </w:rPr>
              <w:t>file form</w:t>
            </w:r>
            <w:r w:rsidRPr="00640D01">
              <w:rPr>
                <w:rFonts w:cs="Times New Roman"/>
              </w:rPr>
              <w:t>at)</w:t>
            </w:r>
          </w:p>
        </w:tc>
        <w:tc>
          <w:tcPr>
            <w:tcW w:w="2477" w:type="dxa"/>
          </w:tcPr>
          <w:p w14:paraId="71BB6A16" w14:textId="1D75A01D" w:rsidR="00313025" w:rsidRPr="00176A31" w:rsidRDefault="0083511D"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Appendix Section </w:t>
            </w:r>
            <w:r w:rsidR="006E2089" w:rsidRPr="00176A31">
              <w:rPr>
                <w:rFonts w:cs="Times New Roman"/>
              </w:rPr>
              <w:fldChar w:fldCharType="begin"/>
            </w:r>
            <w:r w:rsidR="006E2089" w:rsidRPr="00176A31">
              <w:rPr>
                <w:rFonts w:cs="Times New Roman"/>
              </w:rPr>
              <w:instrText xml:space="preserve"> REF _Ref159507068 \h </w:instrText>
            </w:r>
            <w:r w:rsidR="004A738B" w:rsidRPr="00176A31">
              <w:rPr>
                <w:rFonts w:cs="Times New Roman"/>
              </w:rPr>
              <w:instrText xml:space="preserve"> \* MERGEFORMAT </w:instrText>
            </w:r>
            <w:r w:rsidR="006E2089" w:rsidRPr="00176A31">
              <w:rPr>
                <w:rFonts w:cs="Times New Roman"/>
              </w:rPr>
            </w:r>
            <w:r w:rsidR="006E2089" w:rsidRPr="00176A31">
              <w:rPr>
                <w:rFonts w:cs="Times New Roman"/>
              </w:rPr>
              <w:fldChar w:fldCharType="separate"/>
            </w:r>
            <w:r w:rsidR="00514311" w:rsidRPr="00640D01">
              <w:t>D.2 MOVES Emission Factors</w:t>
            </w:r>
            <w:r w:rsidR="006E2089" w:rsidRPr="00176A31">
              <w:rPr>
                <w:rFonts w:cs="Times New Roman"/>
              </w:rPr>
              <w:fldChar w:fldCharType="end"/>
            </w:r>
          </w:p>
        </w:tc>
      </w:tr>
      <w:tr w:rsidR="00CD1313" w:rsidRPr="00640D01" w14:paraId="01BC50A3"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72C2B814" w14:textId="503F4C36" w:rsidR="00CD1313" w:rsidRPr="00640D01" w:rsidRDefault="00CD1313" w:rsidP="00514311">
            <w:pPr>
              <w:pStyle w:val="TableText"/>
              <w:keepNext w:val="0"/>
              <w:rPr>
                <w:rFonts w:cs="Times New Roman"/>
              </w:rPr>
            </w:pPr>
            <w:r w:rsidRPr="00640D01">
              <w:rPr>
                <w:rFonts w:cs="Times New Roman"/>
              </w:rPr>
              <w:t xml:space="preserve">MOVES </w:t>
            </w:r>
            <w:r w:rsidR="0043717C" w:rsidRPr="00640D01">
              <w:rPr>
                <w:rFonts w:cs="Times New Roman"/>
              </w:rPr>
              <w:t>activity</w:t>
            </w:r>
          </w:p>
        </w:tc>
        <w:tc>
          <w:tcPr>
            <w:tcW w:w="1673" w:type="dxa"/>
          </w:tcPr>
          <w:p w14:paraId="331CC590" w14:textId="77777777" w:rsidR="00CD1313" w:rsidRPr="00640D01" w:rsidRDefault="00CD131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71D3E72C" w14:textId="5A8E1178" w:rsidR="00CD1313" w:rsidRPr="00640D01" w:rsidRDefault="00CD131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Electronic (ASCII or txt </w:t>
            </w:r>
            <w:r w:rsidR="0043717C" w:rsidRPr="00640D01">
              <w:rPr>
                <w:rFonts w:cs="Times New Roman"/>
              </w:rPr>
              <w:t>file format</w:t>
            </w:r>
            <w:r w:rsidRPr="00640D01">
              <w:rPr>
                <w:rFonts w:cs="Times New Roman"/>
              </w:rPr>
              <w:t>)</w:t>
            </w:r>
          </w:p>
        </w:tc>
        <w:tc>
          <w:tcPr>
            <w:tcW w:w="2477" w:type="dxa"/>
          </w:tcPr>
          <w:p w14:paraId="69587639" w14:textId="38B4B14D" w:rsidR="00CD1313" w:rsidRPr="00176A31" w:rsidRDefault="0083511D"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Appendix Section </w:t>
            </w:r>
            <w:r w:rsidR="006E2089" w:rsidRPr="00176A31">
              <w:rPr>
                <w:rFonts w:cs="Times New Roman"/>
              </w:rPr>
              <w:fldChar w:fldCharType="begin"/>
            </w:r>
            <w:r w:rsidR="006E2089" w:rsidRPr="00176A31">
              <w:rPr>
                <w:rFonts w:cs="Times New Roman"/>
              </w:rPr>
              <w:instrText xml:space="preserve"> REF _Ref159507073 \h </w:instrText>
            </w:r>
            <w:r w:rsidR="004A738B" w:rsidRPr="00176A31">
              <w:rPr>
                <w:rFonts w:cs="Times New Roman"/>
              </w:rPr>
              <w:instrText xml:space="preserve"> \* MERGEFORMAT </w:instrText>
            </w:r>
            <w:r w:rsidR="006E2089" w:rsidRPr="00176A31">
              <w:rPr>
                <w:rFonts w:cs="Times New Roman"/>
              </w:rPr>
            </w:r>
            <w:r w:rsidR="006E2089" w:rsidRPr="00176A31">
              <w:rPr>
                <w:rFonts w:cs="Times New Roman"/>
              </w:rPr>
              <w:fldChar w:fldCharType="separate"/>
            </w:r>
            <w:r w:rsidR="00514311" w:rsidRPr="00640D01">
              <w:t>D.3 Activities</w:t>
            </w:r>
            <w:r w:rsidR="006E2089" w:rsidRPr="00176A31">
              <w:rPr>
                <w:rFonts w:cs="Times New Roman"/>
              </w:rPr>
              <w:fldChar w:fldCharType="end"/>
            </w:r>
          </w:p>
        </w:tc>
      </w:tr>
      <w:tr w:rsidR="00313025" w:rsidRPr="00640D01" w14:paraId="507E688C"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17D3E6F7" w14:textId="2C5AB733" w:rsidR="00313025" w:rsidRPr="00640D01" w:rsidRDefault="00313025" w:rsidP="00514311">
            <w:pPr>
              <w:pStyle w:val="TableText"/>
              <w:keepNext w:val="0"/>
              <w:rPr>
                <w:rFonts w:cs="Times New Roman"/>
              </w:rPr>
            </w:pPr>
            <w:r w:rsidRPr="00640D01">
              <w:rPr>
                <w:rFonts w:cs="Times New Roman"/>
              </w:rPr>
              <w:t xml:space="preserve">MOVES </w:t>
            </w:r>
            <w:r w:rsidR="0043717C" w:rsidRPr="00640D01">
              <w:rPr>
                <w:rFonts w:cs="Times New Roman"/>
              </w:rPr>
              <w:t>external reference files</w:t>
            </w:r>
          </w:p>
        </w:tc>
        <w:tc>
          <w:tcPr>
            <w:tcW w:w="1673" w:type="dxa"/>
          </w:tcPr>
          <w:p w14:paraId="37503D6A" w14:textId="77777777" w:rsidR="00313025" w:rsidRPr="00640D01" w:rsidRDefault="00313025"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1C50E161" w14:textId="7D3E09FB" w:rsidR="00313025" w:rsidRPr="00640D01" w:rsidRDefault="00313025"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Electronic (ASCII or txt </w:t>
            </w:r>
            <w:r w:rsidR="0043717C" w:rsidRPr="00640D01">
              <w:rPr>
                <w:rFonts w:cs="Times New Roman"/>
              </w:rPr>
              <w:t>file format</w:t>
            </w:r>
            <w:r w:rsidRPr="00640D01">
              <w:rPr>
                <w:rFonts w:cs="Times New Roman"/>
              </w:rPr>
              <w:t>)</w:t>
            </w:r>
          </w:p>
        </w:tc>
        <w:tc>
          <w:tcPr>
            <w:tcW w:w="2477" w:type="dxa"/>
          </w:tcPr>
          <w:p w14:paraId="65E2FFDB" w14:textId="39D87AF6" w:rsidR="00313025" w:rsidRPr="00176A31" w:rsidRDefault="0083511D"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Appendix Section </w:t>
            </w:r>
            <w:r w:rsidR="002A2B19" w:rsidRPr="00176A31">
              <w:rPr>
                <w:rFonts w:cs="Times New Roman"/>
              </w:rPr>
              <w:fldChar w:fldCharType="begin"/>
            </w:r>
            <w:r w:rsidR="002A2B19" w:rsidRPr="00176A31">
              <w:rPr>
                <w:rFonts w:cs="Times New Roman"/>
              </w:rPr>
              <w:instrText xml:space="preserve"> REF _Ref159506768 \h </w:instrText>
            </w:r>
            <w:r w:rsidR="004A738B" w:rsidRPr="00176A31">
              <w:rPr>
                <w:rFonts w:cs="Times New Roman"/>
              </w:rPr>
              <w:instrText xml:space="preserve"> \* MERGEFORMAT </w:instrText>
            </w:r>
            <w:r w:rsidR="002A2B19" w:rsidRPr="00176A31">
              <w:rPr>
                <w:rFonts w:cs="Times New Roman"/>
              </w:rPr>
            </w:r>
            <w:r w:rsidR="002A2B19" w:rsidRPr="00176A31">
              <w:rPr>
                <w:rFonts w:cs="Times New Roman"/>
              </w:rPr>
              <w:fldChar w:fldCharType="separate"/>
            </w:r>
            <w:r w:rsidR="00514311" w:rsidRPr="00640D01">
              <w:t>D.1 MOVES Input and Output</w:t>
            </w:r>
            <w:r w:rsidR="002A2B19" w:rsidRPr="00176A31">
              <w:rPr>
                <w:rFonts w:cs="Times New Roman"/>
              </w:rPr>
              <w:fldChar w:fldCharType="end"/>
            </w:r>
          </w:p>
        </w:tc>
      </w:tr>
      <w:tr w:rsidR="00CD1313" w:rsidRPr="00640D01" w14:paraId="2D351B4D"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1B34B24D" w14:textId="53DC69DB" w:rsidR="00CD1313" w:rsidRPr="00640D01" w:rsidRDefault="00CD1313" w:rsidP="00514311">
            <w:pPr>
              <w:pStyle w:val="TableText"/>
              <w:keepNext w:val="0"/>
              <w:rPr>
                <w:rFonts w:cs="Times New Roman"/>
              </w:rPr>
            </w:pPr>
            <w:r w:rsidRPr="00640D01">
              <w:rPr>
                <w:rFonts w:cs="Times New Roman"/>
              </w:rPr>
              <w:t xml:space="preserve">MOVES </w:t>
            </w:r>
            <w:r w:rsidR="0043717C" w:rsidRPr="00640D01">
              <w:rPr>
                <w:rFonts w:cs="Times New Roman"/>
              </w:rPr>
              <w:t>utilities</w:t>
            </w:r>
          </w:p>
        </w:tc>
        <w:tc>
          <w:tcPr>
            <w:tcW w:w="1673" w:type="dxa"/>
          </w:tcPr>
          <w:p w14:paraId="4FA8EE44" w14:textId="77777777" w:rsidR="00CD1313" w:rsidRPr="00640D01" w:rsidRDefault="00CD131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1EC98CAF" w14:textId="05ECAB8F" w:rsidR="00CD1313" w:rsidRPr="00640D01" w:rsidRDefault="00CD131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Electronic (ASCII or txt </w:t>
            </w:r>
            <w:r w:rsidR="0043717C" w:rsidRPr="00640D01">
              <w:rPr>
                <w:rFonts w:cs="Times New Roman"/>
              </w:rPr>
              <w:t>file format</w:t>
            </w:r>
            <w:r w:rsidRPr="00640D01">
              <w:rPr>
                <w:rFonts w:cs="Times New Roman"/>
              </w:rPr>
              <w:t>)</w:t>
            </w:r>
          </w:p>
        </w:tc>
        <w:tc>
          <w:tcPr>
            <w:tcW w:w="2477" w:type="dxa"/>
          </w:tcPr>
          <w:p w14:paraId="3526D138" w14:textId="67A39B62" w:rsidR="00CD1313" w:rsidRPr="00176A31" w:rsidRDefault="0083511D"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Appendix Section </w:t>
            </w:r>
            <w:r w:rsidR="002A2B19" w:rsidRPr="00176A31">
              <w:rPr>
                <w:rFonts w:cs="Times New Roman"/>
              </w:rPr>
              <w:fldChar w:fldCharType="begin"/>
            </w:r>
            <w:r w:rsidR="002A2B19" w:rsidRPr="00176A31">
              <w:rPr>
                <w:rFonts w:cs="Times New Roman"/>
              </w:rPr>
              <w:instrText xml:space="preserve"> REF _Ref159506786 \h </w:instrText>
            </w:r>
            <w:r w:rsidR="004A738B" w:rsidRPr="00176A31">
              <w:rPr>
                <w:rFonts w:cs="Times New Roman"/>
              </w:rPr>
              <w:instrText xml:space="preserve"> \* MERGEFORMAT </w:instrText>
            </w:r>
            <w:r w:rsidR="002A2B19" w:rsidRPr="00176A31">
              <w:rPr>
                <w:rFonts w:cs="Times New Roman"/>
              </w:rPr>
            </w:r>
            <w:r w:rsidR="002A2B19" w:rsidRPr="00176A31">
              <w:rPr>
                <w:rFonts w:cs="Times New Roman"/>
              </w:rPr>
              <w:fldChar w:fldCharType="separate"/>
            </w:r>
            <w:r w:rsidR="00514311" w:rsidRPr="00640D01">
              <w:t>D.4 Emissions Modeling Utilities</w:t>
            </w:r>
            <w:r w:rsidR="002A2B19" w:rsidRPr="00176A31">
              <w:rPr>
                <w:rFonts w:cs="Times New Roman"/>
              </w:rPr>
              <w:fldChar w:fldCharType="end"/>
            </w:r>
          </w:p>
        </w:tc>
      </w:tr>
      <w:tr w:rsidR="00CD1313" w:rsidRPr="00640D01" w14:paraId="33DC83ED"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797B051C" w14:textId="7873C653" w:rsidR="00CD1313" w:rsidRPr="00640D01" w:rsidRDefault="00CD1313" w:rsidP="00514311">
            <w:pPr>
              <w:pStyle w:val="TableText"/>
              <w:keepNext w:val="0"/>
              <w:rPr>
                <w:rFonts w:cs="Times New Roman"/>
              </w:rPr>
            </w:pPr>
            <w:r w:rsidRPr="00640D01">
              <w:rPr>
                <w:rFonts w:cs="Times New Roman"/>
              </w:rPr>
              <w:lastRenderedPageBreak/>
              <w:t xml:space="preserve">MoSERS </w:t>
            </w:r>
            <w:r w:rsidR="0043717C" w:rsidRPr="00640D01">
              <w:rPr>
                <w:rFonts w:cs="Times New Roman"/>
              </w:rPr>
              <w:t>methodology and</w:t>
            </w:r>
          </w:p>
          <w:p w14:paraId="3A670E7F" w14:textId="7E6BCDA1" w:rsidR="00CD1313" w:rsidRPr="00640D01" w:rsidRDefault="0043717C" w:rsidP="00514311">
            <w:pPr>
              <w:pStyle w:val="TableText"/>
              <w:keepNext w:val="0"/>
              <w:rPr>
                <w:rFonts w:cs="Times New Roman"/>
              </w:rPr>
            </w:pPr>
            <w:r w:rsidRPr="00640D01">
              <w:rPr>
                <w:rFonts w:cs="Times New Roman"/>
              </w:rPr>
              <w:t>calculation descriptions</w:t>
            </w:r>
          </w:p>
        </w:tc>
        <w:tc>
          <w:tcPr>
            <w:tcW w:w="1673" w:type="dxa"/>
          </w:tcPr>
          <w:p w14:paraId="1EA403F7" w14:textId="77777777" w:rsidR="00CD1313" w:rsidRPr="00640D01" w:rsidRDefault="00CD131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1538EECE" w14:textId="10DB4ABC" w:rsidR="00CD1313" w:rsidRPr="00640D01" w:rsidRDefault="00CD131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Electronic </w:t>
            </w:r>
            <w:r w:rsidR="0043717C" w:rsidRPr="00640D01">
              <w:rPr>
                <w:rFonts w:cs="Times New Roman"/>
              </w:rPr>
              <w:t>file</w:t>
            </w:r>
          </w:p>
        </w:tc>
        <w:tc>
          <w:tcPr>
            <w:tcW w:w="2477" w:type="dxa"/>
          </w:tcPr>
          <w:p w14:paraId="442E00AB" w14:textId="32E912FD" w:rsidR="00CD1313" w:rsidRPr="00176A31" w:rsidRDefault="00CD1313"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176A31">
              <w:t xml:space="preserve">Appendix </w:t>
            </w:r>
            <w:r w:rsidR="0083511D" w:rsidRPr="00640D01">
              <w:t xml:space="preserve">Section </w:t>
            </w:r>
            <w:r w:rsidR="00F1524F" w:rsidRPr="00176A31">
              <w:fldChar w:fldCharType="begin"/>
            </w:r>
            <w:r w:rsidR="00F1524F" w:rsidRPr="00176A31">
              <w:instrText xml:space="preserve"> REF _Ref159507130 \h  \* MERGEFORMAT </w:instrText>
            </w:r>
            <w:r w:rsidR="00F1524F" w:rsidRPr="00176A31">
              <w:fldChar w:fldCharType="separate"/>
            </w:r>
            <w:r w:rsidR="00514311" w:rsidRPr="00640D01">
              <w:t>E.1 MoSERS Methodology/Calculation Descriptions</w:t>
            </w:r>
            <w:r w:rsidR="00F1524F" w:rsidRPr="00176A31">
              <w:fldChar w:fldCharType="end"/>
            </w:r>
          </w:p>
        </w:tc>
      </w:tr>
      <w:tr w:rsidR="00CD1313" w:rsidRPr="00640D01" w14:paraId="5D62C2D3"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6C3BAF7D" w14:textId="78BAAD82" w:rsidR="00CD1313" w:rsidRPr="00640D01" w:rsidRDefault="00CD1313" w:rsidP="00514311">
            <w:pPr>
              <w:pStyle w:val="TableText"/>
              <w:keepNext w:val="0"/>
              <w:rPr>
                <w:rFonts w:cs="Times New Roman"/>
              </w:rPr>
            </w:pPr>
            <w:r w:rsidRPr="00640D01">
              <w:rPr>
                <w:rFonts w:cs="Times New Roman"/>
              </w:rPr>
              <w:t xml:space="preserve">MoSERS </w:t>
            </w:r>
            <w:r w:rsidR="0043717C" w:rsidRPr="00640D01">
              <w:rPr>
                <w:rFonts w:cs="Times New Roman"/>
              </w:rPr>
              <w:t>project listing</w:t>
            </w:r>
          </w:p>
        </w:tc>
        <w:tc>
          <w:tcPr>
            <w:tcW w:w="1673" w:type="dxa"/>
          </w:tcPr>
          <w:p w14:paraId="48C83DC1" w14:textId="77777777" w:rsidR="00CD1313" w:rsidRPr="00640D01" w:rsidRDefault="00CD131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44F5EBF5" w14:textId="6764B1E5" w:rsidR="00CD1313" w:rsidRPr="00640D01" w:rsidRDefault="00CD131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Electronic </w:t>
            </w:r>
            <w:r w:rsidR="0043717C" w:rsidRPr="00640D01">
              <w:rPr>
                <w:rFonts w:cs="Times New Roman"/>
              </w:rPr>
              <w:t>file</w:t>
            </w:r>
          </w:p>
        </w:tc>
        <w:tc>
          <w:tcPr>
            <w:tcW w:w="2477" w:type="dxa"/>
          </w:tcPr>
          <w:p w14:paraId="2969DD7D" w14:textId="4F56DE4E" w:rsidR="00CD1313" w:rsidRPr="00176A31" w:rsidRDefault="00691FBF"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176A31">
              <w:t xml:space="preserve">Appendix </w:t>
            </w:r>
            <w:r w:rsidR="0083511D" w:rsidRPr="00640D01">
              <w:t xml:space="preserve">Section </w:t>
            </w:r>
            <w:r w:rsidR="00F1524F" w:rsidRPr="00176A31">
              <w:fldChar w:fldCharType="begin"/>
            </w:r>
            <w:r w:rsidR="00F1524F" w:rsidRPr="00176A31">
              <w:instrText xml:space="preserve"> REF _Ref159507139 \h  \* MERGEFORMAT </w:instrText>
            </w:r>
            <w:r w:rsidR="00F1524F" w:rsidRPr="00176A31">
              <w:fldChar w:fldCharType="separate"/>
            </w:r>
            <w:r w:rsidR="00514311" w:rsidRPr="00640D01">
              <w:t>E.2 MoSERS Project Listing</w:t>
            </w:r>
            <w:r w:rsidR="00F1524F" w:rsidRPr="00176A31">
              <w:fldChar w:fldCharType="end"/>
            </w:r>
          </w:p>
        </w:tc>
      </w:tr>
      <w:tr w:rsidR="00713F1C" w:rsidRPr="00640D01" w14:paraId="20408F4F"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49F92AEE" w14:textId="4217D197" w:rsidR="00713F1C" w:rsidRPr="00640D01" w:rsidRDefault="00713F1C" w:rsidP="00514311">
            <w:pPr>
              <w:pStyle w:val="TableText"/>
              <w:keepNext w:val="0"/>
              <w:rPr>
                <w:rFonts w:cs="Times New Roman"/>
              </w:rPr>
            </w:pPr>
            <w:r w:rsidRPr="00640D01">
              <w:rPr>
                <w:rFonts w:cs="Times New Roman"/>
              </w:rPr>
              <w:t xml:space="preserve">Highway Performance Monitoring System </w:t>
            </w:r>
            <w:r w:rsidR="0043717C" w:rsidRPr="00640D01">
              <w:rPr>
                <w:rFonts w:cs="Times New Roman"/>
              </w:rPr>
              <w:t>adjustment(s), factors, and approach</w:t>
            </w:r>
          </w:p>
        </w:tc>
        <w:tc>
          <w:tcPr>
            <w:tcW w:w="1673" w:type="dxa"/>
          </w:tcPr>
          <w:p w14:paraId="76F0D6A2" w14:textId="3A4F5209" w:rsidR="00713F1C" w:rsidRPr="00640D01" w:rsidRDefault="00713F1C"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40 CFR 93.122(b)(3)</w:t>
            </w:r>
          </w:p>
        </w:tc>
        <w:tc>
          <w:tcPr>
            <w:tcW w:w="1875" w:type="dxa"/>
          </w:tcPr>
          <w:p w14:paraId="1066ED74" w14:textId="0005A31E" w:rsidR="00713F1C" w:rsidRPr="00640D01" w:rsidRDefault="00713F1C"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Discussion </w:t>
            </w:r>
            <w:r w:rsidR="0043717C" w:rsidRPr="00640D01">
              <w:rPr>
                <w:rFonts w:cs="Times New Roman"/>
              </w:rPr>
              <w:t>contained in conformity document</w:t>
            </w:r>
          </w:p>
        </w:tc>
        <w:tc>
          <w:tcPr>
            <w:tcW w:w="2477" w:type="dxa"/>
          </w:tcPr>
          <w:p w14:paraId="57B0447F" w14:textId="50FDCDB2" w:rsidR="00713F1C" w:rsidRPr="00640D01" w:rsidRDefault="00A40E5C"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640D01">
              <w:t>Chapter 4.4</w:t>
            </w:r>
          </w:p>
        </w:tc>
      </w:tr>
      <w:tr w:rsidR="00713F1C" w:rsidRPr="00640D01" w14:paraId="28A43D2D"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44958E62" w14:textId="0FB62DF7" w:rsidR="00713F1C" w:rsidRPr="00640D01" w:rsidRDefault="008D10E9" w:rsidP="00514311">
            <w:pPr>
              <w:pStyle w:val="TableText"/>
              <w:keepNext w:val="0"/>
              <w:rPr>
                <w:rFonts w:cs="Times New Roman"/>
              </w:rPr>
            </w:pPr>
            <w:r w:rsidRPr="00640D01">
              <w:rPr>
                <w:rFonts w:cs="Times New Roman"/>
              </w:rPr>
              <w:t xml:space="preserve">Description of </w:t>
            </w:r>
            <w:r w:rsidR="0083511D" w:rsidRPr="00640D01">
              <w:rPr>
                <w:rFonts w:cs="Times New Roman"/>
              </w:rPr>
              <w:t>TDM</w:t>
            </w:r>
            <w:r w:rsidR="0043717C" w:rsidRPr="00640D01">
              <w:rPr>
                <w:rFonts w:cs="Times New Roman"/>
              </w:rPr>
              <w:t xml:space="preserve"> validation, including validation year</w:t>
            </w:r>
          </w:p>
        </w:tc>
        <w:tc>
          <w:tcPr>
            <w:tcW w:w="1673" w:type="dxa"/>
          </w:tcPr>
          <w:p w14:paraId="38842403" w14:textId="6333061D" w:rsidR="00713F1C" w:rsidRPr="00640D01" w:rsidRDefault="008D10E9"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40 CFR 93.106(a)(1)(ii)</w:t>
            </w:r>
          </w:p>
        </w:tc>
        <w:tc>
          <w:tcPr>
            <w:tcW w:w="1875" w:type="dxa"/>
          </w:tcPr>
          <w:p w14:paraId="40665BD6" w14:textId="661E366A" w:rsidR="00713F1C" w:rsidRPr="00640D01" w:rsidRDefault="008D10E9"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Discussion </w:t>
            </w:r>
            <w:r w:rsidR="0043717C" w:rsidRPr="00640D01">
              <w:rPr>
                <w:rFonts w:cs="Times New Roman"/>
              </w:rPr>
              <w:t>contained in conformity document</w:t>
            </w:r>
          </w:p>
        </w:tc>
        <w:tc>
          <w:tcPr>
            <w:tcW w:w="2477" w:type="dxa"/>
          </w:tcPr>
          <w:p w14:paraId="31DDE4EE" w14:textId="34D3B000" w:rsidR="00713F1C" w:rsidRPr="00640D01" w:rsidRDefault="00494D99"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640D01">
              <w:t xml:space="preserve">Chapter 4.1 and </w:t>
            </w:r>
            <w:r w:rsidRPr="00176A31">
              <w:t xml:space="preserve">Appendix </w:t>
            </w:r>
            <w:r w:rsidR="0083511D" w:rsidRPr="00640D01">
              <w:t xml:space="preserve">Section </w:t>
            </w:r>
            <w:r w:rsidR="00D668CA" w:rsidRPr="00176A31">
              <w:fldChar w:fldCharType="begin"/>
            </w:r>
            <w:r w:rsidR="00D668CA" w:rsidRPr="00176A31">
              <w:instrText xml:space="preserve"> REF _Ref159507174 \h  \* MERGEFORMAT </w:instrText>
            </w:r>
            <w:r w:rsidR="00D668CA" w:rsidRPr="00176A31">
              <w:fldChar w:fldCharType="separate"/>
            </w:r>
            <w:r w:rsidR="00514311" w:rsidRPr="00640D01">
              <w:t>C.1 Travel Model Validation</w:t>
            </w:r>
            <w:r w:rsidR="00D668CA" w:rsidRPr="00176A31">
              <w:fldChar w:fldCharType="end"/>
            </w:r>
          </w:p>
        </w:tc>
      </w:tr>
      <w:tr w:rsidR="008F2E9E" w:rsidRPr="00640D01" w14:paraId="437D16AB"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7B262B67" w14:textId="179901F6" w:rsidR="008F2E9E" w:rsidRPr="00640D01" w:rsidRDefault="008F2E9E" w:rsidP="00514311">
            <w:pPr>
              <w:pStyle w:val="TableText"/>
              <w:keepNext w:val="0"/>
              <w:rPr>
                <w:rFonts w:cs="Times New Roman"/>
              </w:rPr>
            </w:pPr>
            <w:r w:rsidRPr="00640D01">
              <w:rPr>
                <w:rFonts w:cs="Times New Roman"/>
              </w:rPr>
              <w:t xml:space="preserve">Vehicle </w:t>
            </w:r>
            <w:r w:rsidR="0043717C" w:rsidRPr="00640D01">
              <w:rPr>
                <w:rFonts w:cs="Times New Roman"/>
              </w:rPr>
              <w:t>miles of travel</w:t>
            </w:r>
          </w:p>
        </w:tc>
        <w:tc>
          <w:tcPr>
            <w:tcW w:w="1673" w:type="dxa"/>
          </w:tcPr>
          <w:p w14:paraId="025C003D" w14:textId="77777777" w:rsidR="008F2E9E" w:rsidRPr="00640D01" w:rsidRDefault="008F2E9E"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1E81D457" w14:textId="3A3BCF90" w:rsidR="008F2E9E" w:rsidRPr="00640D01" w:rsidRDefault="008F2E9E"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Electronic </w:t>
            </w:r>
            <w:r w:rsidR="0043717C" w:rsidRPr="00640D01">
              <w:rPr>
                <w:rFonts w:cs="Times New Roman"/>
              </w:rPr>
              <w:t>file</w:t>
            </w:r>
          </w:p>
        </w:tc>
        <w:tc>
          <w:tcPr>
            <w:tcW w:w="2477" w:type="dxa"/>
          </w:tcPr>
          <w:p w14:paraId="75BBDF94" w14:textId="32D9CADD" w:rsidR="008F2E9E" w:rsidRPr="00176A31" w:rsidRDefault="009E77D2"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176A31">
              <w:t xml:space="preserve">Appendix </w:t>
            </w:r>
            <w:r w:rsidR="0083511D" w:rsidRPr="00640D01">
              <w:t xml:space="preserve">Section </w:t>
            </w:r>
            <w:r w:rsidR="0044008D" w:rsidRPr="00176A31">
              <w:fldChar w:fldCharType="begin"/>
            </w:r>
            <w:r w:rsidR="0044008D" w:rsidRPr="00176A31">
              <w:instrText xml:space="preserve"> REF _Ref159506257 \h  \* MERGEFORMAT </w:instrText>
            </w:r>
            <w:r w:rsidR="0044008D" w:rsidRPr="00176A31">
              <w:fldChar w:fldCharType="separate"/>
            </w:r>
            <w:r w:rsidR="00514311" w:rsidRPr="00640D01">
              <w:t>D.5 VMT, Speed, and Emissions Summaries</w:t>
            </w:r>
            <w:r w:rsidR="0044008D" w:rsidRPr="00176A31">
              <w:fldChar w:fldCharType="end"/>
            </w:r>
          </w:p>
        </w:tc>
      </w:tr>
      <w:tr w:rsidR="008F2E9E" w:rsidRPr="00640D01" w14:paraId="7609F242"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33CED6C5" w14:textId="3A8D23C5" w:rsidR="008F2E9E" w:rsidRPr="00640D01" w:rsidRDefault="008F2E9E" w:rsidP="00514311">
            <w:pPr>
              <w:pStyle w:val="TableText"/>
              <w:keepNext w:val="0"/>
              <w:rPr>
                <w:rFonts w:cs="Times New Roman"/>
              </w:rPr>
            </w:pPr>
            <w:r w:rsidRPr="00640D01">
              <w:rPr>
                <w:rFonts w:cs="Times New Roman"/>
              </w:rPr>
              <w:t xml:space="preserve">Average </w:t>
            </w:r>
            <w:r w:rsidR="0043717C" w:rsidRPr="00640D01">
              <w:rPr>
                <w:rFonts w:cs="Times New Roman"/>
              </w:rPr>
              <w:t>loaded speeds</w:t>
            </w:r>
          </w:p>
        </w:tc>
        <w:tc>
          <w:tcPr>
            <w:tcW w:w="1673" w:type="dxa"/>
          </w:tcPr>
          <w:p w14:paraId="211218D6" w14:textId="77777777" w:rsidR="008F2E9E" w:rsidRPr="00640D01" w:rsidRDefault="008F2E9E"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4E4F9857" w14:textId="76A8A87F" w:rsidR="008F2E9E" w:rsidRPr="00640D01" w:rsidRDefault="008F2E9E"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Electronic </w:t>
            </w:r>
            <w:r w:rsidR="0043717C" w:rsidRPr="00640D01">
              <w:rPr>
                <w:rFonts w:cs="Times New Roman"/>
              </w:rPr>
              <w:t>file</w:t>
            </w:r>
          </w:p>
        </w:tc>
        <w:tc>
          <w:tcPr>
            <w:tcW w:w="2477" w:type="dxa"/>
          </w:tcPr>
          <w:p w14:paraId="5E943033" w14:textId="3B76E6A2" w:rsidR="008F2E9E" w:rsidRPr="00640D01" w:rsidRDefault="004E21E6"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640D01">
              <w:t xml:space="preserve">Chapter </w:t>
            </w:r>
            <w:r w:rsidRPr="00640D01">
              <w:fldChar w:fldCharType="begin"/>
            </w:r>
            <w:r w:rsidRPr="00640D01">
              <w:instrText xml:space="preserve"> REF _Ref159506214 \r \h </w:instrText>
            </w:r>
            <w:r w:rsidR="005742D7" w:rsidRPr="00640D01">
              <w:instrText xml:space="preserve"> \* MERGEFORMAT </w:instrText>
            </w:r>
            <w:r w:rsidRPr="00640D01">
              <w:fldChar w:fldCharType="separate"/>
            </w:r>
            <w:r w:rsidR="00514311">
              <w:t>4.6.3</w:t>
            </w:r>
            <w:r w:rsidRPr="00640D01">
              <w:fldChar w:fldCharType="end"/>
            </w:r>
          </w:p>
        </w:tc>
      </w:tr>
      <w:tr w:rsidR="008F2E9E" w:rsidRPr="00640D01" w14:paraId="3F30388F"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7551D595" w14:textId="4DFD2ADD" w:rsidR="008F2E9E" w:rsidRPr="00640D01" w:rsidRDefault="008F2E9E" w:rsidP="00514311">
            <w:pPr>
              <w:pStyle w:val="TableText"/>
              <w:keepNext w:val="0"/>
              <w:rPr>
                <w:rFonts w:cs="Times New Roman"/>
              </w:rPr>
            </w:pPr>
            <w:r w:rsidRPr="00640D01">
              <w:rPr>
                <w:rFonts w:cs="Times New Roman"/>
              </w:rPr>
              <w:t xml:space="preserve">Centerline </w:t>
            </w:r>
            <w:r w:rsidR="0043717C" w:rsidRPr="00640D01">
              <w:rPr>
                <w:rFonts w:cs="Times New Roman"/>
              </w:rPr>
              <w:t>mile summaries for each analysis year</w:t>
            </w:r>
          </w:p>
        </w:tc>
        <w:tc>
          <w:tcPr>
            <w:tcW w:w="1673" w:type="dxa"/>
          </w:tcPr>
          <w:p w14:paraId="5F7BB57B" w14:textId="77777777" w:rsidR="008F2E9E" w:rsidRPr="00640D01" w:rsidRDefault="008F2E9E"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27EE0F5E" w14:textId="535C7BE4" w:rsidR="008F2E9E" w:rsidRPr="00640D01" w:rsidRDefault="008F2E9E"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Electronic </w:t>
            </w:r>
            <w:r w:rsidR="0043717C" w:rsidRPr="00640D01">
              <w:rPr>
                <w:rFonts w:cs="Times New Roman"/>
              </w:rPr>
              <w:t>file</w:t>
            </w:r>
          </w:p>
        </w:tc>
        <w:tc>
          <w:tcPr>
            <w:tcW w:w="2477" w:type="dxa"/>
          </w:tcPr>
          <w:p w14:paraId="72D06143" w14:textId="5F0A675C" w:rsidR="008F2E9E" w:rsidRPr="00176A31" w:rsidRDefault="00DB27E3"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176A31">
              <w:t xml:space="preserve">Appendix </w:t>
            </w:r>
            <w:r w:rsidR="0083511D" w:rsidRPr="00640D01">
              <w:t xml:space="preserve">Section </w:t>
            </w:r>
            <w:r w:rsidR="0044008D" w:rsidRPr="00176A31">
              <w:fldChar w:fldCharType="begin"/>
            </w:r>
            <w:r w:rsidR="0044008D" w:rsidRPr="00176A31">
              <w:instrText xml:space="preserve"> REF _Ref159506337 \h  \* MERGEFORMAT </w:instrText>
            </w:r>
            <w:r w:rsidR="0044008D" w:rsidRPr="00176A31">
              <w:fldChar w:fldCharType="separate"/>
            </w:r>
            <w:r w:rsidR="00514311" w:rsidRPr="00640D01">
              <w:t>C.2 Links, Miles, Centerline, and Lane Miles Summaries</w:t>
            </w:r>
            <w:r w:rsidR="0044008D" w:rsidRPr="00176A31">
              <w:fldChar w:fldCharType="end"/>
            </w:r>
          </w:p>
        </w:tc>
      </w:tr>
      <w:tr w:rsidR="008F2E9E" w:rsidRPr="00640D01" w14:paraId="52C39F1F"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3E07E1DD" w14:textId="17A2DED2" w:rsidR="008F2E9E" w:rsidRPr="00640D01" w:rsidRDefault="008F2E9E" w:rsidP="00514311">
            <w:pPr>
              <w:pStyle w:val="TableText"/>
              <w:keepNext w:val="0"/>
              <w:rPr>
                <w:rFonts w:cs="Times New Roman"/>
              </w:rPr>
            </w:pPr>
            <w:r w:rsidRPr="00640D01">
              <w:rPr>
                <w:rFonts w:cs="Times New Roman"/>
              </w:rPr>
              <w:t xml:space="preserve">Definition of </w:t>
            </w:r>
            <w:r w:rsidR="0043717C" w:rsidRPr="00640D01">
              <w:rPr>
                <w:rFonts w:cs="Times New Roman"/>
              </w:rPr>
              <w:t>regionally significant roadway system</w:t>
            </w:r>
          </w:p>
        </w:tc>
        <w:tc>
          <w:tcPr>
            <w:tcW w:w="1673" w:type="dxa"/>
          </w:tcPr>
          <w:p w14:paraId="4F70ACF5" w14:textId="77777777" w:rsidR="008F2E9E" w:rsidRPr="00640D01" w:rsidRDefault="008F2E9E"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30A80C65" w14:textId="419B844E" w:rsidR="008F2E9E" w:rsidRPr="00640D01" w:rsidRDefault="0066552E"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Discussion </w:t>
            </w:r>
            <w:r w:rsidR="0043717C" w:rsidRPr="00640D01">
              <w:rPr>
                <w:rFonts w:cs="Times New Roman"/>
              </w:rPr>
              <w:t>contained in conformity document</w:t>
            </w:r>
          </w:p>
        </w:tc>
        <w:tc>
          <w:tcPr>
            <w:tcW w:w="2477" w:type="dxa"/>
          </w:tcPr>
          <w:p w14:paraId="39F04CEB" w14:textId="3F4466B6" w:rsidR="008F2E9E" w:rsidRPr="00640D01" w:rsidRDefault="00F9056F"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640D01">
              <w:t>Chapter 3.3</w:t>
            </w:r>
          </w:p>
        </w:tc>
      </w:tr>
      <w:tr w:rsidR="00713F1C" w:rsidRPr="00640D01" w14:paraId="40E39F7B"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4097E007" w14:textId="79AAA498" w:rsidR="00713F1C" w:rsidRPr="00640D01" w:rsidRDefault="008D4E46" w:rsidP="00514311">
            <w:pPr>
              <w:pStyle w:val="TableText"/>
              <w:keepNext w:val="0"/>
              <w:rPr>
                <w:rFonts w:cs="Times New Roman"/>
              </w:rPr>
            </w:pPr>
            <w:r w:rsidRPr="00640D01">
              <w:rPr>
                <w:rFonts w:cs="Times New Roman"/>
              </w:rPr>
              <w:t xml:space="preserve">Network </w:t>
            </w:r>
            <w:r w:rsidR="0043717C" w:rsidRPr="00640D01">
              <w:rPr>
                <w:rFonts w:cs="Times New Roman"/>
              </w:rPr>
              <w:t>link listing for each analysis year</w:t>
            </w:r>
          </w:p>
        </w:tc>
        <w:tc>
          <w:tcPr>
            <w:tcW w:w="1673" w:type="dxa"/>
          </w:tcPr>
          <w:p w14:paraId="1D7A3BF8" w14:textId="77777777" w:rsidR="00713F1C" w:rsidRPr="00640D01" w:rsidRDefault="00713F1C"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755B613F" w14:textId="0E991FC9" w:rsidR="00713F1C" w:rsidRPr="00640D01" w:rsidRDefault="008F2E9E"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Discussion </w:t>
            </w:r>
            <w:r w:rsidR="0043717C" w:rsidRPr="00640D01">
              <w:rPr>
                <w:rFonts w:cs="Times New Roman"/>
              </w:rPr>
              <w:t xml:space="preserve">contained in conformity document (electronic file) (electronic files should include </w:t>
            </w:r>
            <w:r w:rsidRPr="00640D01">
              <w:rPr>
                <w:rFonts w:cs="Times New Roman"/>
              </w:rPr>
              <w:t xml:space="preserve">TransCAD </w:t>
            </w:r>
            <w:r w:rsidR="0043717C" w:rsidRPr="00640D01">
              <w:rPr>
                <w:rFonts w:cs="Times New Roman"/>
              </w:rPr>
              <w:t>files</w:t>
            </w:r>
            <w:r w:rsidRPr="00640D01">
              <w:rPr>
                <w:rFonts w:cs="Times New Roman"/>
              </w:rPr>
              <w:t xml:space="preserve">, SHAPE </w:t>
            </w:r>
            <w:r w:rsidR="0043717C" w:rsidRPr="00640D01">
              <w:rPr>
                <w:rFonts w:cs="Times New Roman"/>
              </w:rPr>
              <w:t>files, and spreadsheet files</w:t>
            </w:r>
            <w:r w:rsidRPr="00640D01">
              <w:rPr>
                <w:rFonts w:cs="Times New Roman"/>
              </w:rPr>
              <w:t>)</w:t>
            </w:r>
          </w:p>
        </w:tc>
        <w:tc>
          <w:tcPr>
            <w:tcW w:w="2477" w:type="dxa"/>
          </w:tcPr>
          <w:p w14:paraId="4DAEAB04" w14:textId="0C282A5C" w:rsidR="00713F1C" w:rsidRPr="00640D01" w:rsidRDefault="00F9056F"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640D01">
              <w:t xml:space="preserve">Chapter </w:t>
            </w:r>
            <w:r w:rsidR="00AE6622" w:rsidRPr="00640D01">
              <w:t xml:space="preserve">4.5 and </w:t>
            </w:r>
            <w:r w:rsidR="00AE6622" w:rsidRPr="00176A31">
              <w:t>Appendix</w:t>
            </w:r>
            <w:r w:rsidR="0083511D" w:rsidRPr="00640D01">
              <w:t xml:space="preserve"> Section </w:t>
            </w:r>
            <w:r w:rsidR="007A7B35" w:rsidRPr="00176A31">
              <w:fldChar w:fldCharType="begin"/>
            </w:r>
            <w:r w:rsidR="007A7B35" w:rsidRPr="00176A31">
              <w:instrText xml:space="preserve"> REF _Ref159507345 \h  \* MERGEFORMAT </w:instrText>
            </w:r>
            <w:r w:rsidR="007A7B35" w:rsidRPr="00176A31">
              <w:fldChar w:fldCharType="separate"/>
            </w:r>
            <w:r w:rsidR="00514311" w:rsidRPr="00640D01">
              <w:t xml:space="preserve">C.3 Link Listing and Capacity </w:t>
            </w:r>
            <w:r w:rsidR="007A7B35" w:rsidRPr="00176A31">
              <w:fldChar w:fldCharType="end"/>
            </w:r>
          </w:p>
        </w:tc>
      </w:tr>
      <w:tr w:rsidR="00713F1C" w:rsidRPr="00640D01" w14:paraId="5772FFFF"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1BE41777" w14:textId="48D7ED2A" w:rsidR="008D4E46" w:rsidRPr="00640D01" w:rsidRDefault="008D4E46" w:rsidP="00514311">
            <w:pPr>
              <w:pStyle w:val="TableText"/>
              <w:keepNext w:val="0"/>
              <w:rPr>
                <w:rFonts w:cs="Times New Roman"/>
              </w:rPr>
            </w:pPr>
            <w:r w:rsidRPr="00640D01">
              <w:rPr>
                <w:rFonts w:cs="Times New Roman"/>
              </w:rPr>
              <w:t xml:space="preserve">Files </w:t>
            </w:r>
            <w:r w:rsidR="0043717C" w:rsidRPr="00640D01">
              <w:rPr>
                <w:rFonts w:cs="Times New Roman"/>
              </w:rPr>
              <w:t>containing hourly distribution by county, roadway type, and vehicle type for</w:t>
            </w:r>
          </w:p>
          <w:p w14:paraId="0994A6AB" w14:textId="5ABC3BA4" w:rsidR="008D4E46" w:rsidRPr="00640D01" w:rsidRDefault="0043717C" w:rsidP="00514311">
            <w:pPr>
              <w:pStyle w:val="TableText"/>
              <w:keepNext w:val="0"/>
              <w:rPr>
                <w:rFonts w:cs="Times New Roman"/>
              </w:rPr>
            </w:pPr>
            <w:r w:rsidRPr="00640D01">
              <w:rPr>
                <w:rFonts w:cs="Times New Roman"/>
              </w:rPr>
              <w:t>vehicle miles of travel,</w:t>
            </w:r>
          </w:p>
          <w:p w14:paraId="7D6EE6C1" w14:textId="6654F468" w:rsidR="008D4E46" w:rsidRPr="00640D01" w:rsidRDefault="0043717C" w:rsidP="00514311">
            <w:pPr>
              <w:pStyle w:val="TableText"/>
              <w:keepNext w:val="0"/>
              <w:rPr>
                <w:rFonts w:cs="Times New Roman"/>
              </w:rPr>
            </w:pPr>
            <w:r w:rsidRPr="00640D01">
              <w:rPr>
                <w:rFonts w:cs="Times New Roman"/>
              </w:rPr>
              <w:t>vehicle hours,</w:t>
            </w:r>
          </w:p>
          <w:p w14:paraId="1668938C" w14:textId="2A1E16A1" w:rsidR="008D4E46" w:rsidRPr="00640D01" w:rsidRDefault="0043717C" w:rsidP="00514311">
            <w:pPr>
              <w:pStyle w:val="TableText"/>
              <w:keepNext w:val="0"/>
              <w:rPr>
                <w:rFonts w:cs="Times New Roman"/>
              </w:rPr>
            </w:pPr>
            <w:r w:rsidRPr="00640D01">
              <w:rPr>
                <w:rFonts w:cs="Times New Roman"/>
              </w:rPr>
              <w:t>average operational speed,</w:t>
            </w:r>
          </w:p>
          <w:p w14:paraId="6419CA21" w14:textId="4454BB0B" w:rsidR="008D4E46" w:rsidRPr="00640D01" w:rsidRDefault="0043717C" w:rsidP="00514311">
            <w:pPr>
              <w:pStyle w:val="TableText"/>
              <w:keepNext w:val="0"/>
              <w:rPr>
                <w:rFonts w:cs="Times New Roman"/>
              </w:rPr>
            </w:pPr>
            <w:r w:rsidRPr="00640D01">
              <w:rPr>
                <w:rFonts w:cs="Times New Roman"/>
              </w:rPr>
              <w:t>vehicle population,</w:t>
            </w:r>
          </w:p>
          <w:p w14:paraId="5774CDAB" w14:textId="05550C45" w:rsidR="008D4E46" w:rsidRPr="00640D01" w:rsidRDefault="008D4E46" w:rsidP="00514311">
            <w:pPr>
              <w:pStyle w:val="TableText"/>
              <w:keepNext w:val="0"/>
              <w:rPr>
                <w:rFonts w:cs="Times New Roman"/>
              </w:rPr>
            </w:pPr>
            <w:r w:rsidRPr="00640D01">
              <w:rPr>
                <w:rFonts w:cs="Times New Roman"/>
              </w:rPr>
              <w:t>NO</w:t>
            </w:r>
            <w:r w:rsidRPr="00640D01">
              <w:rPr>
                <w:rFonts w:cs="Times New Roman"/>
                <w:vertAlign w:val="subscript"/>
              </w:rPr>
              <w:t>x</w:t>
            </w:r>
            <w:r w:rsidRPr="00640D01">
              <w:rPr>
                <w:rFonts w:cs="Times New Roman"/>
              </w:rPr>
              <w:t xml:space="preserve"> </w:t>
            </w:r>
            <w:r w:rsidR="0043717C" w:rsidRPr="00640D01">
              <w:rPr>
                <w:rFonts w:cs="Times New Roman"/>
              </w:rPr>
              <w:t>emissions, and</w:t>
            </w:r>
          </w:p>
          <w:p w14:paraId="5E924D51" w14:textId="3535D8A0" w:rsidR="00713F1C" w:rsidRPr="00640D01" w:rsidRDefault="008D4E46" w:rsidP="00514311">
            <w:pPr>
              <w:pStyle w:val="TableText"/>
              <w:keepNext w:val="0"/>
              <w:rPr>
                <w:rFonts w:cs="Times New Roman"/>
              </w:rPr>
            </w:pPr>
            <w:r w:rsidRPr="00640D01">
              <w:rPr>
                <w:rFonts w:cs="Times New Roman"/>
              </w:rPr>
              <w:t xml:space="preserve">VOC </w:t>
            </w:r>
            <w:r w:rsidR="0043717C" w:rsidRPr="00640D01">
              <w:rPr>
                <w:rFonts w:cs="Times New Roman"/>
              </w:rPr>
              <w:t>emissions</w:t>
            </w:r>
          </w:p>
        </w:tc>
        <w:tc>
          <w:tcPr>
            <w:tcW w:w="1673" w:type="dxa"/>
          </w:tcPr>
          <w:p w14:paraId="2DACF824" w14:textId="77777777" w:rsidR="00713F1C" w:rsidRPr="00640D01" w:rsidRDefault="00713F1C"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5FB83D24" w14:textId="1EB22F90" w:rsidR="00713F1C" w:rsidRPr="00640D01" w:rsidRDefault="008F2E9E"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Electronic </w:t>
            </w:r>
            <w:r w:rsidR="0043717C" w:rsidRPr="00640D01">
              <w:rPr>
                <w:rFonts w:cs="Times New Roman"/>
              </w:rPr>
              <w:t>files in tab</w:t>
            </w:r>
            <w:r w:rsidR="0083511D" w:rsidRPr="00640D01">
              <w:rPr>
                <w:rFonts w:cs="Times New Roman"/>
              </w:rPr>
              <w:t>-</w:t>
            </w:r>
            <w:r w:rsidR="0043717C" w:rsidRPr="00640D01">
              <w:rPr>
                <w:rFonts w:cs="Times New Roman"/>
              </w:rPr>
              <w:t>delimited summary tables</w:t>
            </w:r>
          </w:p>
        </w:tc>
        <w:tc>
          <w:tcPr>
            <w:tcW w:w="2477" w:type="dxa"/>
          </w:tcPr>
          <w:p w14:paraId="3A0E7388" w14:textId="1FC815FC" w:rsidR="00713F1C" w:rsidRPr="00176A31" w:rsidRDefault="00242C3F"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176A31">
              <w:t>Appendix</w:t>
            </w:r>
            <w:r w:rsidR="0083511D" w:rsidRPr="00640D01">
              <w:t xml:space="preserve"> Section </w:t>
            </w:r>
            <w:r w:rsidR="007A7B35" w:rsidRPr="00176A31">
              <w:fldChar w:fldCharType="begin"/>
            </w:r>
            <w:r w:rsidR="007A7B35" w:rsidRPr="00176A31">
              <w:instrText xml:space="preserve"> REF _Ref159506257 \h  \* MERGEFORMAT </w:instrText>
            </w:r>
            <w:r w:rsidR="007A7B35" w:rsidRPr="00176A31">
              <w:fldChar w:fldCharType="separate"/>
            </w:r>
            <w:r w:rsidR="00514311" w:rsidRPr="00640D01">
              <w:t>D.5 VMT, Speed, and Emissions Summaries</w:t>
            </w:r>
            <w:r w:rsidR="007A7B35" w:rsidRPr="00176A31">
              <w:fldChar w:fldCharType="end"/>
            </w:r>
          </w:p>
        </w:tc>
      </w:tr>
      <w:tr w:rsidR="00713F1C" w:rsidRPr="00640D01" w14:paraId="3C2F144F"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081E6573" w14:textId="18BE80BB" w:rsidR="00713F1C" w:rsidRPr="00640D01" w:rsidRDefault="0027461A" w:rsidP="00514311">
            <w:pPr>
              <w:pStyle w:val="TableText"/>
              <w:keepNext w:val="0"/>
              <w:rPr>
                <w:rFonts w:cs="Times New Roman"/>
              </w:rPr>
            </w:pPr>
            <w:r w:rsidRPr="00640D01">
              <w:rPr>
                <w:rFonts w:cs="Times New Roman"/>
              </w:rPr>
              <w:t xml:space="preserve">TCMs in SIP, </w:t>
            </w:r>
            <w:r w:rsidR="0043717C" w:rsidRPr="00640D01">
              <w:rPr>
                <w:rFonts w:cs="Times New Roman"/>
              </w:rPr>
              <w:t>including emission reductions, methodologies, implementation dates, etc</w:t>
            </w:r>
            <w:r w:rsidRPr="00640D01">
              <w:rPr>
                <w:rFonts w:cs="Times New Roman"/>
              </w:rPr>
              <w:t>.</w:t>
            </w:r>
          </w:p>
        </w:tc>
        <w:tc>
          <w:tcPr>
            <w:tcW w:w="1673" w:type="dxa"/>
          </w:tcPr>
          <w:p w14:paraId="1126AED4" w14:textId="77777777" w:rsidR="00713F1C" w:rsidRPr="00640D01" w:rsidRDefault="00713F1C"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140DC622" w14:textId="66B442FE" w:rsidR="00713F1C" w:rsidRPr="00640D01" w:rsidRDefault="0027461A"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Electronic </w:t>
            </w:r>
            <w:r w:rsidR="0043717C" w:rsidRPr="00640D01">
              <w:rPr>
                <w:rFonts w:cs="Times New Roman"/>
              </w:rPr>
              <w:t>file</w:t>
            </w:r>
          </w:p>
        </w:tc>
        <w:tc>
          <w:tcPr>
            <w:tcW w:w="2477" w:type="dxa"/>
          </w:tcPr>
          <w:p w14:paraId="6F76D0A4" w14:textId="54696487" w:rsidR="00713F1C" w:rsidRPr="00640D01" w:rsidRDefault="003A6C39"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Chapter </w:t>
            </w:r>
            <w:r w:rsidRPr="00640D01">
              <w:rPr>
                <w:rFonts w:cs="Times New Roman"/>
              </w:rPr>
              <w:fldChar w:fldCharType="begin"/>
            </w:r>
            <w:r w:rsidRPr="00640D01">
              <w:rPr>
                <w:rFonts w:cs="Times New Roman"/>
              </w:rPr>
              <w:instrText xml:space="preserve"> REF _Ref159507434 \r \h </w:instrText>
            </w:r>
            <w:r w:rsidR="005742D7" w:rsidRPr="00640D01">
              <w:rPr>
                <w:rFonts w:cs="Times New Roman"/>
              </w:rPr>
              <w:instrText xml:space="preserve"> \* MERGEFORMAT </w:instrText>
            </w:r>
            <w:r w:rsidRPr="00640D01">
              <w:rPr>
                <w:rFonts w:cs="Times New Roman"/>
              </w:rPr>
            </w:r>
            <w:r w:rsidRPr="00640D01">
              <w:rPr>
                <w:rFonts w:cs="Times New Roman"/>
              </w:rPr>
              <w:fldChar w:fldCharType="separate"/>
            </w:r>
            <w:r w:rsidR="00514311">
              <w:rPr>
                <w:rFonts w:cs="Times New Roman"/>
              </w:rPr>
              <w:t>6.2.2.1</w:t>
            </w:r>
            <w:r w:rsidRPr="00640D01">
              <w:rPr>
                <w:rFonts w:cs="Times New Roman"/>
              </w:rPr>
              <w:fldChar w:fldCharType="end"/>
            </w:r>
          </w:p>
        </w:tc>
      </w:tr>
      <w:tr w:rsidR="00713F1C" w:rsidRPr="00640D01" w14:paraId="54D8C87D"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65353229" w14:textId="1CE7B652" w:rsidR="00713F1C" w:rsidRPr="00640D01" w:rsidRDefault="0027461A" w:rsidP="00514311">
            <w:pPr>
              <w:pStyle w:val="TableText"/>
              <w:keepNext w:val="0"/>
              <w:rPr>
                <w:rFonts w:cs="Times New Roman"/>
              </w:rPr>
            </w:pPr>
            <w:r w:rsidRPr="00640D01">
              <w:rPr>
                <w:rFonts w:cs="Times New Roman"/>
              </w:rPr>
              <w:t xml:space="preserve">Timely </w:t>
            </w:r>
            <w:r w:rsidR="0043717C" w:rsidRPr="00640D01">
              <w:rPr>
                <w:rFonts w:cs="Times New Roman"/>
              </w:rPr>
              <w:t xml:space="preserve">implementation </w:t>
            </w:r>
            <w:r w:rsidRPr="00640D01">
              <w:rPr>
                <w:rFonts w:cs="Times New Roman"/>
              </w:rPr>
              <w:t>of TCMs</w:t>
            </w:r>
          </w:p>
        </w:tc>
        <w:tc>
          <w:tcPr>
            <w:tcW w:w="1673" w:type="dxa"/>
          </w:tcPr>
          <w:p w14:paraId="44D2292F" w14:textId="49CA75F5" w:rsidR="00713F1C" w:rsidRPr="00640D01" w:rsidRDefault="0027461A"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40 CFR 93.113</w:t>
            </w:r>
          </w:p>
        </w:tc>
        <w:tc>
          <w:tcPr>
            <w:tcW w:w="1875" w:type="dxa"/>
          </w:tcPr>
          <w:p w14:paraId="4D82C531" w14:textId="4590E553" w:rsidR="00713F1C" w:rsidRPr="00640D01" w:rsidRDefault="0027461A"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Discussion </w:t>
            </w:r>
            <w:r w:rsidR="0043717C" w:rsidRPr="00640D01">
              <w:rPr>
                <w:rFonts w:cs="Times New Roman"/>
              </w:rPr>
              <w:t>contained in conformity document</w:t>
            </w:r>
          </w:p>
        </w:tc>
        <w:tc>
          <w:tcPr>
            <w:tcW w:w="2477" w:type="dxa"/>
          </w:tcPr>
          <w:p w14:paraId="2CD3CFD4" w14:textId="10C157A6" w:rsidR="00713F1C" w:rsidRPr="00640D01" w:rsidRDefault="00F445A8"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Chapter </w:t>
            </w:r>
            <w:r w:rsidR="001B55D1" w:rsidRPr="00640D01">
              <w:rPr>
                <w:rFonts w:cs="Times New Roman"/>
              </w:rPr>
              <w:fldChar w:fldCharType="begin"/>
            </w:r>
            <w:r w:rsidR="001B55D1" w:rsidRPr="00640D01">
              <w:rPr>
                <w:rFonts w:cs="Times New Roman"/>
              </w:rPr>
              <w:instrText xml:space="preserve"> REF _Ref159507434 \r \h  \* MERGEFORMAT </w:instrText>
            </w:r>
            <w:r w:rsidR="001B55D1" w:rsidRPr="00640D01">
              <w:rPr>
                <w:rFonts w:cs="Times New Roman"/>
              </w:rPr>
            </w:r>
            <w:r w:rsidR="001B55D1" w:rsidRPr="00640D01">
              <w:rPr>
                <w:rFonts w:cs="Times New Roman"/>
              </w:rPr>
              <w:fldChar w:fldCharType="separate"/>
            </w:r>
            <w:r w:rsidR="00514311">
              <w:rPr>
                <w:rFonts w:cs="Times New Roman"/>
              </w:rPr>
              <w:t>6.2.2.1</w:t>
            </w:r>
            <w:r w:rsidR="001B55D1" w:rsidRPr="00640D01">
              <w:rPr>
                <w:rFonts w:cs="Times New Roman"/>
              </w:rPr>
              <w:fldChar w:fldCharType="end"/>
            </w:r>
          </w:p>
        </w:tc>
      </w:tr>
      <w:tr w:rsidR="00713F1C" w:rsidRPr="00640D01" w14:paraId="61D249B0"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63A8E9FC" w14:textId="0891DA87" w:rsidR="00713F1C" w:rsidRPr="00640D01" w:rsidRDefault="007E265F" w:rsidP="00514311">
            <w:pPr>
              <w:pStyle w:val="TableText"/>
              <w:keepNext w:val="0"/>
              <w:rPr>
                <w:rFonts w:cs="Times New Roman"/>
              </w:rPr>
            </w:pPr>
            <w:r w:rsidRPr="00640D01">
              <w:rPr>
                <w:rFonts w:cs="Times New Roman"/>
              </w:rPr>
              <w:lastRenderedPageBreak/>
              <w:t xml:space="preserve">Congestion Mitigation and Air Quality </w:t>
            </w:r>
            <w:r w:rsidR="001B55D1" w:rsidRPr="00640D01">
              <w:rPr>
                <w:rFonts w:cs="Times New Roman"/>
              </w:rPr>
              <w:t xml:space="preserve">Improvement Program </w:t>
            </w:r>
            <w:r w:rsidR="00765DFA" w:rsidRPr="00640D01">
              <w:rPr>
                <w:rFonts w:cs="Times New Roman"/>
              </w:rPr>
              <w:t>(CMAQ)</w:t>
            </w:r>
            <w:r w:rsidRPr="00640D01">
              <w:rPr>
                <w:rFonts w:cs="Times New Roman"/>
              </w:rPr>
              <w:t xml:space="preserve"> </w:t>
            </w:r>
            <w:r w:rsidR="001B55D1" w:rsidRPr="00640D01">
              <w:rPr>
                <w:rFonts w:cs="Times New Roman"/>
              </w:rPr>
              <w:t xml:space="preserve">projects </w:t>
            </w:r>
            <w:r w:rsidR="0043717C" w:rsidRPr="00640D01">
              <w:rPr>
                <w:rFonts w:cs="Times New Roman"/>
              </w:rPr>
              <w:t>containing emission benefits, methodologies, and implementation dates</w:t>
            </w:r>
          </w:p>
        </w:tc>
        <w:tc>
          <w:tcPr>
            <w:tcW w:w="1673" w:type="dxa"/>
          </w:tcPr>
          <w:p w14:paraId="62254C0D" w14:textId="77777777" w:rsidR="00713F1C" w:rsidRPr="00640D01" w:rsidRDefault="00713F1C"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4BE370F4" w14:textId="4B7407AB" w:rsidR="00713F1C" w:rsidRPr="00640D01" w:rsidRDefault="00970CD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Identified in TIP: </w:t>
            </w:r>
            <w:r w:rsidR="0043717C" w:rsidRPr="00640D01">
              <w:rPr>
                <w:rFonts w:cs="Times New Roman"/>
              </w:rPr>
              <w:t>independent self-supporting document (electronic file</w:t>
            </w:r>
            <w:r w:rsidRPr="00640D01">
              <w:rPr>
                <w:rFonts w:cs="Times New Roman"/>
              </w:rPr>
              <w:t>)</w:t>
            </w:r>
          </w:p>
        </w:tc>
        <w:tc>
          <w:tcPr>
            <w:tcW w:w="2477" w:type="dxa"/>
          </w:tcPr>
          <w:p w14:paraId="6F711F7F" w14:textId="75DF4922" w:rsidR="00713F1C" w:rsidRPr="00640D01" w:rsidRDefault="008E5F07"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640D01">
              <w:t xml:space="preserve">Link as listed in </w:t>
            </w:r>
            <w:r w:rsidR="00BA5186" w:rsidRPr="00640D01">
              <w:fldChar w:fldCharType="begin"/>
            </w:r>
            <w:r w:rsidR="00BA5186" w:rsidRPr="00640D01">
              <w:instrText xml:space="preserve"> REF _Ref159507006 \h  \* MERGEFORMAT </w:instrText>
            </w:r>
            <w:r w:rsidR="00BA5186" w:rsidRPr="00640D01">
              <w:fldChar w:fldCharType="separate"/>
            </w:r>
            <w:r w:rsidR="00514311" w:rsidRPr="00640D01">
              <w:t>Appendix B—RTP/MTP</w:t>
            </w:r>
            <w:r w:rsidR="00BA5186" w:rsidRPr="00640D01">
              <w:fldChar w:fldCharType="end"/>
            </w:r>
          </w:p>
        </w:tc>
      </w:tr>
      <w:tr w:rsidR="00713F1C" w:rsidRPr="00640D01" w14:paraId="0491726F"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783EC0AA" w14:textId="679C45C2" w:rsidR="00713F1C" w:rsidRPr="00640D01" w:rsidRDefault="007E265F" w:rsidP="00514311">
            <w:pPr>
              <w:pStyle w:val="TableText"/>
              <w:keepNext w:val="0"/>
              <w:rPr>
                <w:rFonts w:cs="Times New Roman"/>
              </w:rPr>
            </w:pPr>
            <w:r w:rsidRPr="00640D01">
              <w:rPr>
                <w:rFonts w:cs="Times New Roman"/>
              </w:rPr>
              <w:t xml:space="preserve">Roadway </w:t>
            </w:r>
            <w:r w:rsidR="0043717C" w:rsidRPr="00640D01">
              <w:rPr>
                <w:rFonts w:cs="Times New Roman"/>
              </w:rPr>
              <w:t>system (capacity staging</w:t>
            </w:r>
            <w:r w:rsidRPr="00640D01">
              <w:rPr>
                <w:rFonts w:cs="Times New Roman"/>
              </w:rPr>
              <w:t>)</w:t>
            </w:r>
          </w:p>
        </w:tc>
        <w:tc>
          <w:tcPr>
            <w:tcW w:w="1673" w:type="dxa"/>
          </w:tcPr>
          <w:p w14:paraId="1A72382A" w14:textId="77777777" w:rsidR="00713F1C" w:rsidRPr="00640D01" w:rsidRDefault="00713F1C"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2AE16738" w14:textId="195E9E1C" w:rsidR="00713F1C" w:rsidRPr="00640D01" w:rsidRDefault="0043717C"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Electronic file</w:t>
            </w:r>
          </w:p>
        </w:tc>
        <w:tc>
          <w:tcPr>
            <w:tcW w:w="2477" w:type="dxa"/>
          </w:tcPr>
          <w:p w14:paraId="24419F85" w14:textId="7C705B6E" w:rsidR="00713F1C" w:rsidRPr="00640D01" w:rsidRDefault="00AE74C3"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640D01">
              <w:t xml:space="preserve">Appendix </w:t>
            </w:r>
            <w:r w:rsidR="001B55D1" w:rsidRPr="00640D01">
              <w:t xml:space="preserve">Section </w:t>
            </w:r>
            <w:r w:rsidR="001B55D1" w:rsidRPr="00640D01">
              <w:fldChar w:fldCharType="begin"/>
            </w:r>
            <w:r w:rsidR="001B55D1" w:rsidRPr="00640D01">
              <w:instrText xml:space="preserve"> REF _Ref159506337 \h  \* MERGEFORMAT </w:instrText>
            </w:r>
            <w:r w:rsidR="001B55D1" w:rsidRPr="00640D01">
              <w:fldChar w:fldCharType="separate"/>
            </w:r>
            <w:r w:rsidR="00514311" w:rsidRPr="00640D01">
              <w:t>C.2 Links, Miles, Centerline, and Lane Miles Summaries</w:t>
            </w:r>
            <w:r w:rsidR="001B55D1" w:rsidRPr="00640D01">
              <w:fldChar w:fldCharType="end"/>
            </w:r>
          </w:p>
        </w:tc>
      </w:tr>
      <w:tr w:rsidR="0027461A" w:rsidRPr="00640D01" w14:paraId="7F984C4B"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17C44F02" w14:textId="45C76681" w:rsidR="0027461A" w:rsidRPr="00640D01" w:rsidRDefault="007E265F" w:rsidP="00514311">
            <w:pPr>
              <w:pStyle w:val="TableText"/>
              <w:keepNext w:val="0"/>
              <w:rPr>
                <w:rFonts w:cs="Times New Roman"/>
              </w:rPr>
            </w:pPr>
            <w:r w:rsidRPr="00640D01">
              <w:rPr>
                <w:rFonts w:cs="Times New Roman"/>
              </w:rPr>
              <w:t xml:space="preserve">List of </w:t>
            </w:r>
            <w:r w:rsidR="0043717C" w:rsidRPr="00640D01">
              <w:rPr>
                <w:rFonts w:cs="Times New Roman"/>
              </w:rPr>
              <w:t>non-federal projects</w:t>
            </w:r>
          </w:p>
        </w:tc>
        <w:tc>
          <w:tcPr>
            <w:tcW w:w="1673" w:type="dxa"/>
          </w:tcPr>
          <w:p w14:paraId="6117CB1A" w14:textId="3180DD67" w:rsidR="0027461A" w:rsidRPr="00640D01" w:rsidRDefault="007E265F"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In </w:t>
            </w:r>
            <w:r w:rsidR="0043717C" w:rsidRPr="00640D01">
              <w:rPr>
                <w:rFonts w:cs="Times New Roman"/>
              </w:rPr>
              <w:t xml:space="preserve">response </w:t>
            </w:r>
            <w:r w:rsidRPr="00640D01">
              <w:rPr>
                <w:rFonts w:cs="Times New Roman"/>
              </w:rPr>
              <w:t xml:space="preserve">to March 2, </w:t>
            </w:r>
            <w:r w:rsidR="00970CD3" w:rsidRPr="00640D01">
              <w:rPr>
                <w:rFonts w:cs="Times New Roman"/>
              </w:rPr>
              <w:t>1999,</w:t>
            </w:r>
            <w:r w:rsidRPr="00640D01">
              <w:rPr>
                <w:rFonts w:cs="Times New Roman"/>
              </w:rPr>
              <w:t xml:space="preserve"> </w:t>
            </w:r>
            <w:r w:rsidR="0043717C" w:rsidRPr="00640D01">
              <w:rPr>
                <w:rFonts w:cs="Times New Roman"/>
              </w:rPr>
              <w:t>court ruling</w:t>
            </w:r>
          </w:p>
        </w:tc>
        <w:tc>
          <w:tcPr>
            <w:tcW w:w="1875" w:type="dxa"/>
          </w:tcPr>
          <w:p w14:paraId="68D79A4E" w14:textId="352D90A6" w:rsidR="0027461A" w:rsidRPr="00640D01" w:rsidRDefault="00970CD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Identified in TIP: </w:t>
            </w:r>
            <w:r w:rsidR="0043717C" w:rsidRPr="00640D01">
              <w:rPr>
                <w:rFonts w:cs="Times New Roman"/>
              </w:rPr>
              <w:t>independent self-supporting document (electronic file</w:t>
            </w:r>
            <w:r w:rsidRPr="00640D01">
              <w:rPr>
                <w:rFonts w:cs="Times New Roman"/>
              </w:rPr>
              <w:t>)</w:t>
            </w:r>
          </w:p>
        </w:tc>
        <w:tc>
          <w:tcPr>
            <w:tcW w:w="2477" w:type="dxa"/>
          </w:tcPr>
          <w:p w14:paraId="324797D3" w14:textId="5949309A" w:rsidR="0027461A" w:rsidRPr="00640D01" w:rsidRDefault="008E5F07"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640D01">
              <w:t xml:space="preserve">Link as listed in </w:t>
            </w:r>
            <w:r w:rsidR="005742D7" w:rsidRPr="00176A31">
              <w:fldChar w:fldCharType="begin"/>
            </w:r>
            <w:r w:rsidR="005742D7" w:rsidRPr="00176A31">
              <w:instrText xml:space="preserve"> REF _Ref159507006 \h  \* MERGEFORMAT </w:instrText>
            </w:r>
            <w:r w:rsidR="005742D7" w:rsidRPr="00176A31">
              <w:fldChar w:fldCharType="separate"/>
            </w:r>
            <w:r w:rsidR="00514311" w:rsidRPr="00640D01">
              <w:t>Appendix B—RTP/MTP</w:t>
            </w:r>
            <w:r w:rsidR="005742D7" w:rsidRPr="00176A31">
              <w:fldChar w:fldCharType="end"/>
            </w:r>
          </w:p>
        </w:tc>
      </w:tr>
      <w:tr w:rsidR="00970CD3" w:rsidRPr="00640D01" w14:paraId="32C7DCE5"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68F9D177" w14:textId="24350FA4" w:rsidR="00970CD3" w:rsidRPr="00640D01" w:rsidRDefault="00970CD3" w:rsidP="00514311">
            <w:pPr>
              <w:pStyle w:val="TableText"/>
              <w:keepNext w:val="0"/>
              <w:rPr>
                <w:rFonts w:cs="Times New Roman"/>
              </w:rPr>
            </w:pPr>
            <w:r w:rsidRPr="00640D01">
              <w:rPr>
                <w:rFonts w:cs="Times New Roman"/>
              </w:rPr>
              <w:t xml:space="preserve">List of </w:t>
            </w:r>
            <w:r w:rsidR="0043717C" w:rsidRPr="00640D01">
              <w:rPr>
                <w:rFonts w:cs="Times New Roman"/>
              </w:rPr>
              <w:t>exempt projects</w:t>
            </w:r>
          </w:p>
        </w:tc>
        <w:tc>
          <w:tcPr>
            <w:tcW w:w="1673" w:type="dxa"/>
          </w:tcPr>
          <w:p w14:paraId="2634E20E" w14:textId="0374B877" w:rsidR="00970CD3" w:rsidRPr="00640D01" w:rsidRDefault="00970CD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40 CFR 93.105(c)</w:t>
            </w:r>
          </w:p>
          <w:p w14:paraId="609DC3DE" w14:textId="1F6FFC75" w:rsidR="00970CD3" w:rsidRPr="00640D01" w:rsidRDefault="00970CD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40 CFR 93.126</w:t>
            </w:r>
          </w:p>
          <w:p w14:paraId="650F4210" w14:textId="2FD56D98" w:rsidR="00970CD3" w:rsidRPr="00640D01" w:rsidRDefault="00970CD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40 CFR 93.127</w:t>
            </w:r>
          </w:p>
          <w:p w14:paraId="52E5B58B" w14:textId="15665407" w:rsidR="00970CD3" w:rsidRPr="00640D01" w:rsidRDefault="00970CD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40 CFR 93.128</w:t>
            </w:r>
          </w:p>
        </w:tc>
        <w:tc>
          <w:tcPr>
            <w:tcW w:w="1875" w:type="dxa"/>
          </w:tcPr>
          <w:p w14:paraId="5172843D" w14:textId="2B387AB2" w:rsidR="00970CD3" w:rsidRPr="00640D01" w:rsidRDefault="00970CD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Identified in TIP: </w:t>
            </w:r>
            <w:r w:rsidR="001B55D1" w:rsidRPr="00640D01">
              <w:rPr>
                <w:rFonts w:cs="Times New Roman"/>
              </w:rPr>
              <w:t>independent self-supporting document (electronic file</w:t>
            </w:r>
            <w:r w:rsidRPr="00640D01">
              <w:rPr>
                <w:rFonts w:cs="Times New Roman"/>
              </w:rPr>
              <w:t>)</w:t>
            </w:r>
          </w:p>
        </w:tc>
        <w:tc>
          <w:tcPr>
            <w:tcW w:w="2477" w:type="dxa"/>
          </w:tcPr>
          <w:p w14:paraId="314803D5" w14:textId="348E1074" w:rsidR="00970CD3" w:rsidRPr="00640D01" w:rsidRDefault="005742D7"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640D01">
              <w:t>Link as listed in</w:t>
            </w:r>
            <w:r w:rsidR="00654794" w:rsidRPr="00640D01">
              <w:t xml:space="preserve"> </w:t>
            </w:r>
            <w:r w:rsidRPr="00176A31">
              <w:fldChar w:fldCharType="begin"/>
            </w:r>
            <w:r w:rsidRPr="00176A31">
              <w:instrText xml:space="preserve"> REF _Ref159507006 \h  \* MERGEFORMAT </w:instrText>
            </w:r>
            <w:r w:rsidRPr="00176A31">
              <w:fldChar w:fldCharType="separate"/>
            </w:r>
            <w:r w:rsidR="00514311" w:rsidRPr="00640D01">
              <w:t>Appendix B—RTP/MTP</w:t>
            </w:r>
            <w:r w:rsidRPr="00176A31">
              <w:fldChar w:fldCharType="end"/>
            </w:r>
          </w:p>
        </w:tc>
      </w:tr>
      <w:tr w:rsidR="00970CD3" w:rsidRPr="00640D01" w14:paraId="64290CFB"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74F61A3E" w14:textId="0B16FC10" w:rsidR="00970CD3" w:rsidRPr="00640D01" w:rsidRDefault="00970CD3" w:rsidP="00514311">
            <w:pPr>
              <w:pStyle w:val="TableText"/>
              <w:keepNext w:val="0"/>
              <w:rPr>
                <w:rFonts w:cs="Times New Roman"/>
              </w:rPr>
            </w:pPr>
            <w:r w:rsidRPr="00640D01">
              <w:rPr>
                <w:rFonts w:cs="Times New Roman"/>
              </w:rPr>
              <w:t xml:space="preserve">Evidence of </w:t>
            </w:r>
            <w:r w:rsidR="0043717C" w:rsidRPr="00640D01">
              <w:rPr>
                <w:rFonts w:cs="Times New Roman"/>
              </w:rPr>
              <w:t>fiscal constraint</w:t>
            </w:r>
          </w:p>
        </w:tc>
        <w:tc>
          <w:tcPr>
            <w:tcW w:w="1673" w:type="dxa"/>
          </w:tcPr>
          <w:p w14:paraId="2059A5BA" w14:textId="2D9C3279" w:rsidR="00970CD3" w:rsidRPr="00640D01" w:rsidRDefault="00970CD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40 CFR 93.108</w:t>
            </w:r>
          </w:p>
        </w:tc>
        <w:tc>
          <w:tcPr>
            <w:tcW w:w="1875" w:type="dxa"/>
          </w:tcPr>
          <w:p w14:paraId="2A3784F2" w14:textId="528B43E9" w:rsidR="00970CD3" w:rsidRPr="00640D01" w:rsidRDefault="00970CD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Identified in TIP: </w:t>
            </w:r>
            <w:r w:rsidR="0043717C" w:rsidRPr="00640D01">
              <w:rPr>
                <w:rFonts w:cs="Times New Roman"/>
              </w:rPr>
              <w:t>independent self-supporting document (electronic file)</w:t>
            </w:r>
          </w:p>
        </w:tc>
        <w:tc>
          <w:tcPr>
            <w:tcW w:w="2477" w:type="dxa"/>
          </w:tcPr>
          <w:p w14:paraId="2EF4107B" w14:textId="70849AD1" w:rsidR="00970CD3" w:rsidRPr="00640D01" w:rsidRDefault="005742D7"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640D01">
              <w:t xml:space="preserve">Link as listed in </w:t>
            </w:r>
            <w:r w:rsidRPr="00176A31">
              <w:fldChar w:fldCharType="begin"/>
            </w:r>
            <w:r w:rsidRPr="00176A31">
              <w:instrText xml:space="preserve"> REF _Ref159507006 \h  \* MERGEFORMAT </w:instrText>
            </w:r>
            <w:r w:rsidRPr="00176A31">
              <w:fldChar w:fldCharType="separate"/>
            </w:r>
            <w:r w:rsidR="00514311" w:rsidRPr="00640D01">
              <w:t>Appendix B—RTP/MTP</w:t>
            </w:r>
            <w:r w:rsidRPr="00176A31">
              <w:fldChar w:fldCharType="end"/>
            </w:r>
          </w:p>
        </w:tc>
      </w:tr>
      <w:tr w:rsidR="00970CD3" w:rsidRPr="00640D01" w14:paraId="3323F264"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268A1A2C" w14:textId="041F0470" w:rsidR="00970CD3" w:rsidRPr="00640D01" w:rsidRDefault="00970CD3" w:rsidP="00514311">
            <w:pPr>
              <w:pStyle w:val="TableText"/>
              <w:keepNext w:val="0"/>
              <w:rPr>
                <w:rFonts w:cs="Times New Roman"/>
              </w:rPr>
            </w:pPr>
            <w:r w:rsidRPr="00640D01">
              <w:rPr>
                <w:rFonts w:cs="Times New Roman"/>
              </w:rPr>
              <w:t xml:space="preserve">Evidence of </w:t>
            </w:r>
            <w:r w:rsidR="003260E6" w:rsidRPr="00640D01">
              <w:rPr>
                <w:rFonts w:cs="Times New Roman"/>
              </w:rPr>
              <w:t>RTP/</w:t>
            </w:r>
            <w:r w:rsidRPr="00640D01">
              <w:rPr>
                <w:rFonts w:cs="Times New Roman"/>
              </w:rPr>
              <w:t xml:space="preserve">MTP </w:t>
            </w:r>
            <w:r w:rsidR="0043717C" w:rsidRPr="00640D01">
              <w:rPr>
                <w:rFonts w:cs="Times New Roman"/>
              </w:rPr>
              <w:t>specifically describing the transportation system envisioned for each analysis year</w:t>
            </w:r>
          </w:p>
        </w:tc>
        <w:tc>
          <w:tcPr>
            <w:tcW w:w="1673" w:type="dxa"/>
          </w:tcPr>
          <w:p w14:paraId="1B1ACA93" w14:textId="3E0DA022" w:rsidR="00970CD3" w:rsidRPr="00640D01" w:rsidRDefault="00970CD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40 CFR 93.106(a)</w:t>
            </w:r>
          </w:p>
        </w:tc>
        <w:tc>
          <w:tcPr>
            <w:tcW w:w="1875" w:type="dxa"/>
          </w:tcPr>
          <w:p w14:paraId="6DDA32E8" w14:textId="7FBE85BB" w:rsidR="00970CD3" w:rsidRPr="00640D01" w:rsidRDefault="00970CD3"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Identified in TIP: </w:t>
            </w:r>
            <w:r w:rsidR="0043717C" w:rsidRPr="00640D01">
              <w:rPr>
                <w:rFonts w:cs="Times New Roman"/>
              </w:rPr>
              <w:t>independent self-supporting document (electronic file</w:t>
            </w:r>
            <w:r w:rsidRPr="00640D01">
              <w:rPr>
                <w:rFonts w:cs="Times New Roman"/>
              </w:rPr>
              <w:t>)</w:t>
            </w:r>
          </w:p>
        </w:tc>
        <w:tc>
          <w:tcPr>
            <w:tcW w:w="2477" w:type="dxa"/>
          </w:tcPr>
          <w:p w14:paraId="66DFCF63" w14:textId="194D21BC" w:rsidR="00970CD3" w:rsidRPr="00640D01" w:rsidRDefault="005742D7"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640D01">
              <w:t xml:space="preserve">Link as listed in </w:t>
            </w:r>
            <w:r w:rsidRPr="00176A31">
              <w:fldChar w:fldCharType="begin"/>
            </w:r>
            <w:r w:rsidRPr="00176A31">
              <w:instrText xml:space="preserve"> REF _Ref159507006 \h  \* MERGEFORMAT </w:instrText>
            </w:r>
            <w:r w:rsidRPr="00176A31">
              <w:fldChar w:fldCharType="separate"/>
            </w:r>
            <w:r w:rsidR="00514311" w:rsidRPr="00640D01">
              <w:t>Appendix B—RTP/MTP</w:t>
            </w:r>
            <w:r w:rsidRPr="00176A31">
              <w:fldChar w:fldCharType="end"/>
            </w:r>
          </w:p>
        </w:tc>
      </w:tr>
      <w:tr w:rsidR="00713F1C" w:rsidRPr="00640D01" w14:paraId="5DB3B58E"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3D1C8AD8" w14:textId="48ED6924" w:rsidR="00713F1C" w:rsidRPr="00640D01" w:rsidRDefault="00970CD3" w:rsidP="00514311">
            <w:pPr>
              <w:pStyle w:val="TableText"/>
              <w:keepNext w:val="0"/>
              <w:rPr>
                <w:rFonts w:cs="Times New Roman"/>
              </w:rPr>
            </w:pPr>
            <w:r w:rsidRPr="00640D01">
              <w:rPr>
                <w:rFonts w:cs="Times New Roman"/>
              </w:rPr>
              <w:t xml:space="preserve">Evidence of </w:t>
            </w:r>
            <w:r w:rsidR="001B55D1" w:rsidRPr="00640D01">
              <w:rPr>
                <w:rFonts w:cs="Times New Roman"/>
              </w:rPr>
              <w:t>public participation and response to comments</w:t>
            </w:r>
          </w:p>
        </w:tc>
        <w:tc>
          <w:tcPr>
            <w:tcW w:w="1673" w:type="dxa"/>
          </w:tcPr>
          <w:p w14:paraId="0B07658D" w14:textId="46A8A13E" w:rsidR="00713F1C" w:rsidRPr="00640D01" w:rsidRDefault="00B62A2D"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40 CFR 93.105</w:t>
            </w:r>
          </w:p>
        </w:tc>
        <w:tc>
          <w:tcPr>
            <w:tcW w:w="1875" w:type="dxa"/>
          </w:tcPr>
          <w:p w14:paraId="35CF86F9" w14:textId="434FF659" w:rsidR="00713F1C" w:rsidRPr="00640D01" w:rsidRDefault="004548AC"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Electronic </w:t>
            </w:r>
            <w:r w:rsidR="0043717C" w:rsidRPr="00640D01">
              <w:rPr>
                <w:rFonts w:cs="Times New Roman"/>
              </w:rPr>
              <w:t>file</w:t>
            </w:r>
          </w:p>
        </w:tc>
        <w:tc>
          <w:tcPr>
            <w:tcW w:w="2477" w:type="dxa"/>
          </w:tcPr>
          <w:p w14:paraId="7579D37F" w14:textId="2FB5596C" w:rsidR="00713F1C" w:rsidRPr="00176A31" w:rsidRDefault="004548AC"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176A31">
              <w:t>Appendix</w:t>
            </w:r>
            <w:r w:rsidR="005742D7" w:rsidRPr="00176A31">
              <w:t xml:space="preserve"> </w:t>
            </w:r>
            <w:r w:rsidR="001B55D1" w:rsidRPr="00640D01">
              <w:t xml:space="preserve">Section </w:t>
            </w:r>
            <w:r w:rsidR="005742D7" w:rsidRPr="00176A31">
              <w:fldChar w:fldCharType="begin"/>
            </w:r>
            <w:r w:rsidR="005742D7" w:rsidRPr="00176A31">
              <w:instrText xml:space="preserve"> REF _Ref159507579 \h  \* MERGEFORMAT </w:instrText>
            </w:r>
            <w:r w:rsidR="005742D7" w:rsidRPr="00176A31">
              <w:fldChar w:fldCharType="separate"/>
            </w:r>
            <w:r w:rsidR="00514311" w:rsidRPr="00640D01">
              <w:t>G.1 Meeting I</w:t>
            </w:r>
            <w:r w:rsidR="005742D7" w:rsidRPr="00176A31">
              <w:fldChar w:fldCharType="end"/>
            </w:r>
          </w:p>
        </w:tc>
      </w:tr>
      <w:tr w:rsidR="00765DFA" w:rsidRPr="00640D01" w14:paraId="7FC50F0A"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2140DD0C" w14:textId="6411D09B" w:rsidR="00765DFA" w:rsidRPr="00640D01" w:rsidRDefault="00765DFA" w:rsidP="00514311">
            <w:pPr>
              <w:pStyle w:val="TableText"/>
              <w:keepNext w:val="0"/>
              <w:rPr>
                <w:rFonts w:cs="Times New Roman"/>
              </w:rPr>
            </w:pPr>
            <w:r w:rsidRPr="00640D01">
              <w:rPr>
                <w:rFonts w:cs="Times New Roman"/>
              </w:rPr>
              <w:t xml:space="preserve">Endorsements and/or </w:t>
            </w:r>
            <w:r w:rsidR="0043717C" w:rsidRPr="00640D01">
              <w:rPr>
                <w:rFonts w:cs="Times New Roman"/>
              </w:rPr>
              <w:t>resolutions</w:t>
            </w:r>
          </w:p>
        </w:tc>
        <w:tc>
          <w:tcPr>
            <w:tcW w:w="1673" w:type="dxa"/>
          </w:tcPr>
          <w:p w14:paraId="506CE90E" w14:textId="77777777" w:rsidR="00765DFA" w:rsidRPr="00640D01" w:rsidRDefault="00765DFA"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7D3593CD" w14:textId="4530C7BB" w:rsidR="00765DFA" w:rsidRPr="00640D01" w:rsidRDefault="00765DFA"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Electronic </w:t>
            </w:r>
            <w:r w:rsidR="0043717C" w:rsidRPr="00640D01">
              <w:rPr>
                <w:rFonts w:cs="Times New Roman"/>
              </w:rPr>
              <w:t>file</w:t>
            </w:r>
          </w:p>
        </w:tc>
        <w:tc>
          <w:tcPr>
            <w:tcW w:w="2477" w:type="dxa"/>
          </w:tcPr>
          <w:p w14:paraId="0B7417E3" w14:textId="283F457F" w:rsidR="00765DFA" w:rsidRPr="00640D01" w:rsidRDefault="005742D7"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640D01">
              <w:fldChar w:fldCharType="begin"/>
            </w:r>
            <w:r w:rsidRPr="00640D01">
              <w:instrText xml:space="preserve"> REF _Ref159507592 \h  \* MERGEFORMAT </w:instrText>
            </w:r>
            <w:r w:rsidRPr="00640D01">
              <w:fldChar w:fldCharType="separate"/>
            </w:r>
            <w:r w:rsidR="00514311" w:rsidRPr="00640D01">
              <w:t>Appendix A—Resolution of Adoption</w:t>
            </w:r>
            <w:r w:rsidRPr="00640D01">
              <w:fldChar w:fldCharType="end"/>
            </w:r>
          </w:p>
        </w:tc>
      </w:tr>
      <w:tr w:rsidR="00765DFA" w:rsidRPr="00640D01" w14:paraId="14C9B3A3"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039C4319" w14:textId="2BB82F4B" w:rsidR="00765DFA" w:rsidRPr="00640D01" w:rsidRDefault="00765DFA" w:rsidP="00514311">
            <w:pPr>
              <w:pStyle w:val="TableText"/>
              <w:keepNext w:val="0"/>
              <w:rPr>
                <w:rFonts w:cs="Times New Roman"/>
              </w:rPr>
            </w:pPr>
            <w:r w:rsidRPr="00640D01">
              <w:rPr>
                <w:rFonts w:cs="Times New Roman"/>
              </w:rPr>
              <w:t xml:space="preserve">Memorandum of </w:t>
            </w:r>
            <w:r w:rsidR="0043717C" w:rsidRPr="00640D01">
              <w:rPr>
                <w:rFonts w:cs="Times New Roman"/>
              </w:rPr>
              <w:t>agreements</w:t>
            </w:r>
          </w:p>
        </w:tc>
        <w:tc>
          <w:tcPr>
            <w:tcW w:w="1673" w:type="dxa"/>
          </w:tcPr>
          <w:p w14:paraId="1CC6D579" w14:textId="77777777" w:rsidR="00765DFA" w:rsidRPr="00640D01" w:rsidRDefault="00765DFA"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12F85010" w14:textId="2E12473A" w:rsidR="00765DFA" w:rsidRPr="00640D01" w:rsidRDefault="00765DFA"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Electronic </w:t>
            </w:r>
            <w:r w:rsidR="0043717C" w:rsidRPr="00640D01">
              <w:rPr>
                <w:rFonts w:cs="Times New Roman"/>
              </w:rPr>
              <w:t>file</w:t>
            </w:r>
          </w:p>
        </w:tc>
        <w:tc>
          <w:tcPr>
            <w:tcW w:w="2477" w:type="dxa"/>
          </w:tcPr>
          <w:p w14:paraId="5B2425C4" w14:textId="6A18B70E" w:rsidR="00765DFA" w:rsidRPr="00176A31" w:rsidRDefault="005742D7"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176A31">
              <w:fldChar w:fldCharType="begin"/>
            </w:r>
            <w:r w:rsidRPr="00176A31">
              <w:instrText xml:space="preserve"> REF _Ref159507597 \h  \* MERGEFORMAT </w:instrText>
            </w:r>
            <w:r w:rsidRPr="00176A31">
              <w:fldChar w:fldCharType="separate"/>
            </w:r>
            <w:r w:rsidR="00514311" w:rsidRPr="00640D01">
              <w:t>Appendix A—Resolution of Adoption</w:t>
            </w:r>
            <w:r w:rsidRPr="00176A31">
              <w:fldChar w:fldCharType="end"/>
            </w:r>
          </w:p>
        </w:tc>
      </w:tr>
      <w:tr w:rsidR="00765DFA" w:rsidRPr="00640D01" w14:paraId="2C3DA530"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28365307" w14:textId="6785ABA8" w:rsidR="00765DFA" w:rsidRPr="00640D01" w:rsidRDefault="00765DFA" w:rsidP="00514311">
            <w:pPr>
              <w:pStyle w:val="TableText"/>
              <w:keepNext w:val="0"/>
              <w:rPr>
                <w:rFonts w:cs="Times New Roman"/>
              </w:rPr>
            </w:pPr>
            <w:r w:rsidRPr="00640D01">
              <w:rPr>
                <w:rFonts w:cs="Times New Roman"/>
              </w:rPr>
              <w:t xml:space="preserve">Applicable </w:t>
            </w:r>
            <w:r w:rsidRPr="00176A31">
              <w:rPr>
                <w:rFonts w:cs="Times New Roman"/>
                <w:i/>
                <w:iCs/>
              </w:rPr>
              <w:t>Federal Register</w:t>
            </w:r>
            <w:r w:rsidRPr="00640D01">
              <w:rPr>
                <w:rFonts w:cs="Times New Roman"/>
              </w:rPr>
              <w:t xml:space="preserve"> </w:t>
            </w:r>
            <w:r w:rsidR="0043717C" w:rsidRPr="00640D01">
              <w:rPr>
                <w:rFonts w:cs="Times New Roman"/>
              </w:rPr>
              <w:t>notices and related documents</w:t>
            </w:r>
          </w:p>
        </w:tc>
        <w:tc>
          <w:tcPr>
            <w:tcW w:w="1673" w:type="dxa"/>
          </w:tcPr>
          <w:p w14:paraId="471C09EF" w14:textId="77777777" w:rsidR="00765DFA" w:rsidRPr="00640D01" w:rsidRDefault="00765DFA"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19B6003A" w14:textId="4F41024A" w:rsidR="00765DFA" w:rsidRPr="00640D01" w:rsidRDefault="00CA406C" w:rsidP="00514311">
            <w:pPr>
              <w:pStyle w:val="TableText"/>
              <w:keepNext w:val="0"/>
              <w:keepLines/>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Discussion </w:t>
            </w:r>
            <w:r w:rsidR="0043717C" w:rsidRPr="00640D01">
              <w:rPr>
                <w:rFonts w:cs="Times New Roman"/>
              </w:rPr>
              <w:t>contained in conformity document</w:t>
            </w:r>
          </w:p>
        </w:tc>
        <w:tc>
          <w:tcPr>
            <w:tcW w:w="2477" w:type="dxa"/>
          </w:tcPr>
          <w:p w14:paraId="763361D8" w14:textId="2F291DD4" w:rsidR="00765DFA" w:rsidRPr="00640D01" w:rsidRDefault="00976BD9"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640D01">
              <w:t xml:space="preserve">Throughout </w:t>
            </w:r>
            <w:r w:rsidR="00684C90" w:rsidRPr="00640D01">
              <w:t xml:space="preserve">the </w:t>
            </w:r>
            <w:r w:rsidRPr="00640D01">
              <w:t>conformity document and appendices</w:t>
            </w:r>
          </w:p>
        </w:tc>
      </w:tr>
      <w:tr w:rsidR="00765DFA" w:rsidRPr="00640D01" w14:paraId="213AB29F" w14:textId="77777777" w:rsidTr="00514311">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6310937D" w14:textId="67F7D0AE" w:rsidR="00765DFA" w:rsidRPr="00640D01" w:rsidRDefault="00765DFA" w:rsidP="00514311">
            <w:pPr>
              <w:pStyle w:val="TableText"/>
              <w:keepNext w:val="0"/>
              <w:rPr>
                <w:rFonts w:cs="Times New Roman"/>
              </w:rPr>
            </w:pPr>
            <w:r w:rsidRPr="00640D01">
              <w:rPr>
                <w:rFonts w:cs="Times New Roman"/>
              </w:rPr>
              <w:t xml:space="preserve">Interagency </w:t>
            </w:r>
            <w:r w:rsidR="0043717C" w:rsidRPr="00640D01">
              <w:rPr>
                <w:rFonts w:cs="Times New Roman"/>
              </w:rPr>
              <w:t>consultation</w:t>
            </w:r>
          </w:p>
        </w:tc>
        <w:tc>
          <w:tcPr>
            <w:tcW w:w="1673" w:type="dxa"/>
          </w:tcPr>
          <w:p w14:paraId="0DF70BB0" w14:textId="77777777" w:rsidR="00765DFA" w:rsidRPr="00640D01" w:rsidRDefault="00765DFA"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p>
        </w:tc>
        <w:tc>
          <w:tcPr>
            <w:tcW w:w="1875" w:type="dxa"/>
          </w:tcPr>
          <w:p w14:paraId="59881A48" w14:textId="5F52EAED" w:rsidR="00765DFA" w:rsidRPr="00640D01" w:rsidRDefault="00765DFA" w:rsidP="00514311">
            <w:pPr>
              <w:pStyle w:val="TableText"/>
              <w:keepNext w:val="0"/>
              <w:cnfStyle w:val="000000000000" w:firstRow="0" w:lastRow="0" w:firstColumn="0" w:lastColumn="0" w:oddVBand="0" w:evenVBand="0" w:oddHBand="0" w:evenHBand="0" w:firstRowFirstColumn="0" w:firstRowLastColumn="0" w:lastRowFirstColumn="0" w:lastRowLastColumn="0"/>
              <w:rPr>
                <w:rFonts w:cs="Times New Roman"/>
              </w:rPr>
            </w:pPr>
            <w:r w:rsidRPr="00640D01">
              <w:rPr>
                <w:rFonts w:cs="Times New Roman"/>
              </w:rPr>
              <w:t xml:space="preserve">Electronic </w:t>
            </w:r>
            <w:r w:rsidR="0043717C" w:rsidRPr="00640D01">
              <w:rPr>
                <w:rFonts w:cs="Times New Roman"/>
              </w:rPr>
              <w:t>file</w:t>
            </w:r>
          </w:p>
        </w:tc>
        <w:tc>
          <w:tcPr>
            <w:tcW w:w="2477" w:type="dxa"/>
          </w:tcPr>
          <w:p w14:paraId="55651099" w14:textId="2D5F86D1" w:rsidR="00765DFA" w:rsidRPr="00176A31" w:rsidRDefault="005742D7" w:rsidP="00514311">
            <w:pPr>
              <w:pStyle w:val="TableText"/>
              <w:keepNext w:val="0"/>
              <w:cnfStyle w:val="000000000000" w:firstRow="0" w:lastRow="0" w:firstColumn="0" w:lastColumn="0" w:oddVBand="0" w:evenVBand="0" w:oddHBand="0" w:evenHBand="0" w:firstRowFirstColumn="0" w:firstRowLastColumn="0" w:lastRowFirstColumn="0" w:lastRowLastColumn="0"/>
            </w:pPr>
            <w:r w:rsidRPr="00176A31">
              <w:fldChar w:fldCharType="begin"/>
            </w:r>
            <w:r w:rsidRPr="00176A31">
              <w:instrText xml:space="preserve"> REF _Ref159507615 \h  \* MERGEFORMAT </w:instrText>
            </w:r>
            <w:r w:rsidRPr="00176A31">
              <w:fldChar w:fldCharType="separate"/>
            </w:r>
            <w:r w:rsidR="00514311" w:rsidRPr="00640D01">
              <w:t>Appendix F—Interagency Consultation Process</w:t>
            </w:r>
            <w:r w:rsidRPr="00176A31">
              <w:fldChar w:fldCharType="end"/>
            </w:r>
          </w:p>
        </w:tc>
      </w:tr>
    </w:tbl>
    <w:p w14:paraId="1052AA4A" w14:textId="77777777" w:rsidR="00B230C5" w:rsidRPr="00640D01" w:rsidRDefault="00B230C5">
      <w:pPr>
        <w:spacing w:after="160" w:line="259" w:lineRule="auto"/>
        <w:rPr>
          <w:rFonts w:ascii="Times New Roman Bold" w:eastAsiaTheme="majorEastAsia" w:hAnsi="Times New Roman Bold" w:cstheme="majorBidi"/>
          <w:b/>
          <w:caps/>
          <w:szCs w:val="32"/>
        </w:rPr>
      </w:pPr>
      <w:r w:rsidRPr="00640D01">
        <w:br w:type="page"/>
      </w:r>
    </w:p>
    <w:p w14:paraId="734830FF" w14:textId="2D9F0AE7" w:rsidR="00017A79" w:rsidRPr="00640D01" w:rsidRDefault="00811878" w:rsidP="00861F03">
      <w:pPr>
        <w:pStyle w:val="Heading1"/>
      </w:pPr>
      <w:bookmarkStart w:id="42" w:name="_Toc190242689"/>
      <w:r w:rsidRPr="00640D01">
        <w:lastRenderedPageBreak/>
        <w:t>RTP/</w:t>
      </w:r>
      <w:r w:rsidR="00017A79" w:rsidRPr="00640D01">
        <w:t>MTP</w:t>
      </w:r>
      <w:r w:rsidR="008753A7" w:rsidRPr="00640D01">
        <w:t xml:space="preserve"> and </w:t>
      </w:r>
      <w:r w:rsidR="00017A79" w:rsidRPr="00640D01">
        <w:t>TIP</w:t>
      </w:r>
      <w:bookmarkEnd w:id="42"/>
    </w:p>
    <w:p w14:paraId="04BFEAF0" w14:textId="5D8759A4" w:rsidR="009D1BE5" w:rsidRPr="00640D01" w:rsidRDefault="00D231FC" w:rsidP="00D231FC">
      <w:pPr>
        <w:pStyle w:val="Heading2"/>
      </w:pPr>
      <w:r w:rsidRPr="00640D01">
        <w:fldChar w:fldCharType="begin"/>
      </w:r>
      <w:r w:rsidRPr="00640D01">
        <w:instrText xml:space="preserve"> REF MTPRTP \h  \* MERGEFORMAT </w:instrText>
      </w:r>
      <w:r w:rsidRPr="00640D01">
        <w:fldChar w:fldCharType="separate"/>
      </w:r>
      <w:bookmarkStart w:id="43" w:name="_Toc190242690"/>
      <w:r w:rsidR="00514311" w:rsidRPr="00514311">
        <w:t>[Name of RTP/MTP]</w:t>
      </w:r>
      <w:r w:rsidRPr="00640D01">
        <w:fldChar w:fldCharType="end"/>
      </w:r>
      <w:r w:rsidR="00A8711B" w:rsidRPr="00640D01">
        <w:t xml:space="preserve"> </w:t>
      </w:r>
      <w:r w:rsidRPr="00640D01">
        <w:t xml:space="preserve">and </w:t>
      </w:r>
      <w:r w:rsidRPr="00640D01">
        <w:fldChar w:fldCharType="begin"/>
      </w:r>
      <w:r w:rsidRPr="00640D01">
        <w:instrText xml:space="preserve"> REF TIPName \h  \* MERGEFORMAT </w:instrText>
      </w:r>
      <w:r w:rsidRPr="00640D01">
        <w:fldChar w:fldCharType="separate"/>
      </w:r>
      <w:r w:rsidR="00514311" w:rsidRPr="00514311">
        <w:t>[Name of TIP]</w:t>
      </w:r>
      <w:bookmarkEnd w:id="43"/>
      <w:r w:rsidRPr="00640D01">
        <w:fldChar w:fldCharType="end"/>
      </w:r>
    </w:p>
    <w:p w14:paraId="19DE0C82" w14:textId="30945A27" w:rsidR="00322744" w:rsidRPr="00640D01" w:rsidRDefault="00017A79" w:rsidP="00322744">
      <w:pPr>
        <w:pStyle w:val="Heading3"/>
      </w:pPr>
      <w:bookmarkStart w:id="44" w:name="_Toc190242691"/>
      <w:r w:rsidRPr="00640D01">
        <w:t>Overview</w:t>
      </w:r>
      <w:bookmarkEnd w:id="44"/>
    </w:p>
    <w:p w14:paraId="33B126D4" w14:textId="391B1520" w:rsidR="009F64E2" w:rsidRPr="00640D01" w:rsidRDefault="00000000" w:rsidP="00CC4D69">
      <w:pPr>
        <w:pStyle w:val="BodyText"/>
      </w:pPr>
      <w:sdt>
        <w:sdtPr>
          <w:alias w:val="Select MPO"/>
          <w:tag w:val="Select MPO"/>
          <w:id w:val="-1147199217"/>
          <w:placeholder>
            <w:docPart w:val="39D4D584530E46F4B14D88E895A292F3"/>
          </w:placeholder>
          <w:showingPlcHdr/>
          <w:dropDownList>
            <w:listItem w:value="Choose an item."/>
            <w:listItem w:displayText="AAMPO" w:value="AAMPO"/>
            <w:listItem w:displayText="El Paso MPO" w:value="El Paso MPO"/>
            <w:listItem w:displayText="H-GAC" w:value="H-GAC"/>
            <w:listItem w:displayText="NCTCOG" w:value="NCTCOG"/>
            <w:listItem w:displayText="SETRPC" w:value="SETRPC"/>
          </w:dropDownList>
        </w:sdtPr>
        <w:sdtContent>
          <w:r w:rsidR="00B82961" w:rsidRPr="00640D01">
            <w:rPr>
              <w:rStyle w:val="Style2"/>
            </w:rPr>
            <w:t>[</w:t>
          </w:r>
          <w:r w:rsidR="00B82961" w:rsidRPr="00640D01">
            <w:rPr>
              <w:b/>
              <w:bCs/>
              <w:color w:val="C00000"/>
            </w:rPr>
            <w:t>MPO Name]</w:t>
          </w:r>
        </w:sdtContent>
      </w:sdt>
      <w:r w:rsidR="004F1D44" w:rsidRPr="00640D01">
        <w:t xml:space="preserve"> </w:t>
      </w:r>
      <w:r w:rsidR="009F64E2" w:rsidRPr="00640D01">
        <w:t xml:space="preserve">serves </w:t>
      </w:r>
      <w:r w:rsidR="008C02AB" w:rsidRPr="00640D01">
        <w:rPr>
          <w:color w:val="7030A0"/>
        </w:rPr>
        <w:t>[</w:t>
      </w:r>
      <w:r w:rsidR="008C02AB" w:rsidRPr="00640D01">
        <w:rPr>
          <w:b/>
          <w:bCs/>
          <w:color w:val="7030A0"/>
        </w:rPr>
        <w:t>X number of counties in the YYY metropolitan area</w:t>
      </w:r>
      <w:r w:rsidR="008C02AB" w:rsidRPr="00640D01">
        <w:rPr>
          <w:color w:val="7030A0"/>
        </w:rPr>
        <w:t>]</w:t>
      </w:r>
      <w:r w:rsidR="008C02AB" w:rsidRPr="00640D01">
        <w:t>.</w:t>
      </w:r>
      <w:r w:rsidR="009F64E2" w:rsidRPr="00640D01">
        <w:t xml:space="preserve"> This region includes the </w:t>
      </w:r>
      <w:r w:rsidR="00443C59" w:rsidRPr="00640D01">
        <w:rPr>
          <w:color w:val="7030A0"/>
        </w:rPr>
        <w:t>[</w:t>
      </w:r>
      <w:r w:rsidR="00443C59" w:rsidRPr="00640D01">
        <w:rPr>
          <w:b/>
          <w:bCs/>
          <w:color w:val="7030A0"/>
        </w:rPr>
        <w:t>areas under nonattainment</w:t>
      </w:r>
      <w:r w:rsidR="00CC4D69" w:rsidRPr="00640D01">
        <w:rPr>
          <w:b/>
          <w:bCs/>
          <w:color w:val="7030A0"/>
        </w:rPr>
        <w:t xml:space="preserve"> </w:t>
      </w:r>
      <w:r w:rsidR="00CC4D69" w:rsidRPr="00176A31">
        <w:rPr>
          <w:color w:val="7030A0"/>
        </w:rPr>
        <w:t>(</w:t>
      </w:r>
      <w:r w:rsidR="00CC4D69" w:rsidRPr="00640D01">
        <w:rPr>
          <w:color w:val="7030A0"/>
        </w:rPr>
        <w:t>e</w:t>
      </w:r>
      <w:r w:rsidR="00443C59" w:rsidRPr="00640D01">
        <w:rPr>
          <w:color w:val="7030A0"/>
        </w:rPr>
        <w:t xml:space="preserve">.g., </w:t>
      </w:r>
      <w:r w:rsidR="009F64E2" w:rsidRPr="00640D01">
        <w:rPr>
          <w:color w:val="7030A0"/>
        </w:rPr>
        <w:t>2008 8-hour ozone 10-county nonattainment area</w:t>
      </w:r>
      <w:r w:rsidR="00443C59" w:rsidRPr="00640D01">
        <w:rPr>
          <w:color w:val="7030A0"/>
        </w:rPr>
        <w:t>]</w:t>
      </w:r>
      <w:r w:rsidR="009F64E2" w:rsidRPr="00640D01">
        <w:rPr>
          <w:color w:val="7030A0"/>
        </w:rPr>
        <w:t xml:space="preserve">, which covers </w:t>
      </w:r>
      <w:r w:rsidR="00F5151F" w:rsidRPr="00640D01">
        <w:rPr>
          <w:color w:val="7030A0"/>
        </w:rPr>
        <w:t>[</w:t>
      </w:r>
      <w:r w:rsidR="00F5151F" w:rsidRPr="00640D01">
        <w:rPr>
          <w:b/>
          <w:bCs/>
          <w:color w:val="7030A0"/>
        </w:rPr>
        <w:t>XX, YY, and ZZ county(s)</w:t>
      </w:r>
      <w:r w:rsidR="00F5151F" w:rsidRPr="00640D01">
        <w:rPr>
          <w:color w:val="7030A0"/>
        </w:rPr>
        <w:t>]</w:t>
      </w:r>
      <w:r w:rsidR="009F64E2" w:rsidRPr="00640D01">
        <w:t>.</w:t>
      </w:r>
    </w:p>
    <w:p w14:paraId="7601205E" w14:textId="729A7C2A" w:rsidR="00017A79" w:rsidRPr="00640D01" w:rsidRDefault="00045B11" w:rsidP="00CC4D69">
      <w:pPr>
        <w:pStyle w:val="BodyText"/>
      </w:pPr>
      <w:r w:rsidRPr="00640D01">
        <w:t xml:space="preserve">On </w:t>
      </w:r>
      <w:r w:rsidR="003C1AC6" w:rsidRPr="00640D01">
        <w:rPr>
          <w:color w:val="7030A0"/>
        </w:rPr>
        <w:t>[</w:t>
      </w:r>
      <w:r w:rsidR="003C1AC6" w:rsidRPr="00640D01">
        <w:rPr>
          <w:b/>
          <w:bCs/>
          <w:color w:val="7030A0"/>
        </w:rPr>
        <w:t>approval date</w:t>
      </w:r>
      <w:r w:rsidR="00E857BE" w:rsidRPr="00640D01">
        <w:rPr>
          <w:color w:val="7030A0"/>
        </w:rPr>
        <w:t>]</w:t>
      </w:r>
      <w:r w:rsidRPr="00640D01">
        <w:rPr>
          <w:color w:val="7030A0"/>
        </w:rPr>
        <w:t xml:space="preserve">, </w:t>
      </w:r>
      <w:r w:rsidR="00D231FC" w:rsidRPr="00640D01">
        <w:rPr>
          <w:color w:val="7030A0"/>
        </w:rPr>
        <w:fldChar w:fldCharType="begin"/>
      </w:r>
      <w:r w:rsidR="00D231FC" w:rsidRPr="00640D01">
        <w:instrText xml:space="preserve"> REF MTPRTP \h </w:instrText>
      </w:r>
      <w:r w:rsidR="00D231FC" w:rsidRPr="00640D01">
        <w:rPr>
          <w:color w:val="7030A0"/>
        </w:rPr>
      </w:r>
      <w:r w:rsidR="00D231FC" w:rsidRPr="00640D01">
        <w:rPr>
          <w:color w:val="7030A0"/>
        </w:rPr>
        <w:fldChar w:fldCharType="separate"/>
      </w:r>
      <w:r w:rsidR="00514311" w:rsidRPr="00640D01">
        <w:rPr>
          <w:b/>
          <w:bCs/>
          <w:color w:val="C00000"/>
        </w:rPr>
        <w:t>[Name of RTP/MTP]</w:t>
      </w:r>
      <w:r w:rsidR="00D231FC" w:rsidRPr="00640D01">
        <w:rPr>
          <w:color w:val="7030A0"/>
        </w:rPr>
        <w:fldChar w:fldCharType="end"/>
      </w:r>
      <w:r w:rsidR="00FE45ED" w:rsidRPr="00640D01">
        <w:rPr>
          <w:color w:val="7030A0"/>
        </w:rPr>
        <w:t xml:space="preserve"> </w:t>
      </w:r>
      <w:r w:rsidR="00D231FC" w:rsidRPr="00640D01">
        <w:t>and</w:t>
      </w:r>
      <w:r w:rsidR="00CC4D69" w:rsidRPr="00640D01">
        <w:t xml:space="preserve"> the</w:t>
      </w:r>
      <w:r w:rsidR="00D231FC" w:rsidRPr="00640D01">
        <w:rPr>
          <w:color w:val="7030A0"/>
        </w:rPr>
        <w:t xml:space="preserve"> </w:t>
      </w:r>
      <w:r w:rsidR="00D231FC" w:rsidRPr="00640D01">
        <w:rPr>
          <w:color w:val="7030A0"/>
        </w:rPr>
        <w:fldChar w:fldCharType="begin"/>
      </w:r>
      <w:r w:rsidR="00D231FC" w:rsidRPr="00640D01">
        <w:rPr>
          <w:color w:val="7030A0"/>
        </w:rPr>
        <w:instrText xml:space="preserve"> REF TIPName \h </w:instrText>
      </w:r>
      <w:r w:rsidR="00D231FC" w:rsidRPr="00640D01">
        <w:rPr>
          <w:color w:val="7030A0"/>
        </w:rPr>
      </w:r>
      <w:r w:rsidR="00D231FC" w:rsidRPr="00640D01">
        <w:rPr>
          <w:color w:val="7030A0"/>
        </w:rPr>
        <w:fldChar w:fldCharType="separate"/>
      </w:r>
      <w:r w:rsidR="00514311" w:rsidRPr="00640D01">
        <w:rPr>
          <w:b/>
          <w:bCs/>
          <w:color w:val="C00000"/>
        </w:rPr>
        <w:t>[Name of TIP]</w:t>
      </w:r>
      <w:r w:rsidR="00D231FC" w:rsidRPr="00640D01">
        <w:rPr>
          <w:color w:val="7030A0"/>
        </w:rPr>
        <w:fldChar w:fldCharType="end"/>
      </w:r>
      <w:r w:rsidR="00FE45ED" w:rsidRPr="00640D01">
        <w:rPr>
          <w:color w:val="7030A0"/>
        </w:rPr>
        <w:t xml:space="preserve"> </w:t>
      </w:r>
      <w:r w:rsidR="00AB4935" w:rsidRPr="00640D01">
        <w:t>w</w:t>
      </w:r>
      <w:r w:rsidR="003E4AE7" w:rsidRPr="00640D01">
        <w:t xml:space="preserve">ere considered </w:t>
      </w:r>
      <w:r w:rsidR="00812861" w:rsidRPr="00640D01">
        <w:t xml:space="preserve">for approval </w:t>
      </w:r>
      <w:r w:rsidR="003E4AE7" w:rsidRPr="00640D01">
        <w:t xml:space="preserve">by </w:t>
      </w:r>
      <w:r w:rsidR="00B82961" w:rsidRPr="00640D01">
        <w:t xml:space="preserve">the </w:t>
      </w:r>
      <w:sdt>
        <w:sdtPr>
          <w:alias w:val="Select MPO"/>
          <w:tag w:val="Select MPO"/>
          <w:id w:val="585583644"/>
          <w:placeholder>
            <w:docPart w:val="673A4370C7CC4392B7802EF2CC3B3F0D"/>
          </w:placeholder>
          <w:showingPlcHdr/>
          <w:dropDownList>
            <w:listItem w:value="Choose an item."/>
            <w:listItem w:displayText="AAMPO" w:value="AAMPO"/>
            <w:listItem w:displayText="El Paso MPO" w:value="El Paso MPO"/>
            <w:listItem w:displayText="H-GAC" w:value="H-GAC"/>
            <w:listItem w:displayText="NCTCOG" w:value="NCTCOG"/>
            <w:listItem w:displayText="SETRPC" w:value="SETRPC"/>
          </w:dropDownList>
        </w:sdtPr>
        <w:sdtContent>
          <w:r w:rsidR="00B82961" w:rsidRPr="00640D01">
            <w:rPr>
              <w:rStyle w:val="Style2"/>
            </w:rPr>
            <w:t>[</w:t>
          </w:r>
          <w:r w:rsidR="00B82961" w:rsidRPr="00640D01">
            <w:rPr>
              <w:b/>
              <w:bCs/>
              <w:color w:val="C00000"/>
            </w:rPr>
            <w:t>MPO Name]</w:t>
          </w:r>
        </w:sdtContent>
      </w:sdt>
      <w:r w:rsidR="004F1D44" w:rsidRPr="00640D01">
        <w:t xml:space="preserve"> </w:t>
      </w:r>
      <w:r w:rsidR="000852A9" w:rsidRPr="00640D01">
        <w:t xml:space="preserve">Policy Board. </w:t>
      </w:r>
      <w:r w:rsidR="00812861" w:rsidRPr="00640D01">
        <w:t xml:space="preserve">The </w:t>
      </w:r>
      <w:r w:rsidR="00D231FC" w:rsidRPr="00640D01">
        <w:rPr>
          <w:color w:val="7030A0"/>
        </w:rPr>
        <w:fldChar w:fldCharType="begin"/>
      </w:r>
      <w:r w:rsidR="00D231FC" w:rsidRPr="00640D01">
        <w:instrText xml:space="preserve"> REF MTPRTP \h </w:instrText>
      </w:r>
      <w:r w:rsidR="00D231FC" w:rsidRPr="00640D01">
        <w:rPr>
          <w:color w:val="7030A0"/>
        </w:rPr>
      </w:r>
      <w:r w:rsidR="00D231FC" w:rsidRPr="00640D01">
        <w:rPr>
          <w:color w:val="7030A0"/>
        </w:rPr>
        <w:fldChar w:fldCharType="separate"/>
      </w:r>
      <w:r w:rsidR="00514311" w:rsidRPr="00640D01">
        <w:rPr>
          <w:b/>
          <w:bCs/>
          <w:color w:val="C00000"/>
        </w:rPr>
        <w:t>[Name of RTP/MTP]</w:t>
      </w:r>
      <w:r w:rsidR="00D231FC" w:rsidRPr="00640D01">
        <w:rPr>
          <w:color w:val="7030A0"/>
        </w:rPr>
        <w:fldChar w:fldCharType="end"/>
      </w:r>
      <w:r w:rsidR="00FE45ED" w:rsidRPr="00640D01">
        <w:rPr>
          <w:color w:val="7030A0"/>
        </w:rPr>
        <w:t xml:space="preserve"> </w:t>
      </w:r>
      <w:r w:rsidR="00812861" w:rsidRPr="00640D01">
        <w:t xml:space="preserve">update covers a planning period of </w:t>
      </w:r>
      <w:r w:rsidR="00B77C99" w:rsidRPr="00640D01">
        <w:rPr>
          <w:color w:val="7030A0"/>
        </w:rPr>
        <w:t>[</w:t>
      </w:r>
      <w:r w:rsidR="00B77C99" w:rsidRPr="00640D01">
        <w:rPr>
          <w:b/>
          <w:bCs/>
          <w:color w:val="7030A0"/>
        </w:rPr>
        <w:t>beginning year</w:t>
      </w:r>
      <w:r w:rsidR="00B77C99" w:rsidRPr="00640D01">
        <w:rPr>
          <w:color w:val="7030A0"/>
        </w:rPr>
        <w:t>]</w:t>
      </w:r>
      <w:r w:rsidR="00812861" w:rsidRPr="00640D01">
        <w:rPr>
          <w:color w:val="7030A0"/>
        </w:rPr>
        <w:t xml:space="preserve"> </w:t>
      </w:r>
      <w:r w:rsidR="00812861" w:rsidRPr="00640D01">
        <w:t xml:space="preserve">through </w:t>
      </w:r>
      <w:r w:rsidR="00B77C99" w:rsidRPr="00640D01">
        <w:rPr>
          <w:color w:val="7030A0"/>
        </w:rPr>
        <w:t>[</w:t>
      </w:r>
      <w:r w:rsidR="00B77C99" w:rsidRPr="00640D01">
        <w:rPr>
          <w:b/>
          <w:bCs/>
          <w:color w:val="7030A0"/>
        </w:rPr>
        <w:t>end year</w:t>
      </w:r>
      <w:r w:rsidR="00B77C99" w:rsidRPr="00176A31">
        <w:rPr>
          <w:color w:val="7030A0"/>
        </w:rPr>
        <w:t>]</w:t>
      </w:r>
      <w:r w:rsidR="00812861" w:rsidRPr="00640D01">
        <w:rPr>
          <w:color w:val="7030A0"/>
        </w:rPr>
        <w:t xml:space="preserve"> </w:t>
      </w:r>
      <w:r w:rsidR="00812861" w:rsidRPr="00640D01">
        <w:t xml:space="preserve">and contains a list of projects fiscally constrained by estimates of reasonably available revenues. </w:t>
      </w:r>
      <w:r w:rsidR="00E90D22" w:rsidRPr="00640D01">
        <w:t>This</w:t>
      </w:r>
      <w:r w:rsidR="00812861" w:rsidRPr="00640D01">
        <w:t xml:space="preserve"> update reflects the priorities for transportation investments within </w:t>
      </w:r>
      <w:r w:rsidR="00B82961" w:rsidRPr="00640D01">
        <w:t xml:space="preserve">the </w:t>
      </w:r>
      <w:sdt>
        <w:sdtPr>
          <w:alias w:val="Select MPO"/>
          <w:tag w:val="Select MPO"/>
          <w:id w:val="-1436744572"/>
          <w:placeholder>
            <w:docPart w:val="C06070493AC8492DB4E9F162693EB1A3"/>
          </w:placeholder>
          <w:showingPlcHdr/>
          <w:dropDownList>
            <w:listItem w:value="Choose an item."/>
            <w:listItem w:displayText="AAMPO" w:value="AAMPO"/>
            <w:listItem w:displayText="El Paso MPO" w:value="El Paso MPO"/>
            <w:listItem w:displayText="H-GAC" w:value="H-GAC"/>
            <w:listItem w:displayText="NCTCOG" w:value="NCTCOG"/>
            <w:listItem w:displayText="SETRPC" w:value="SETRPC"/>
          </w:dropDownList>
        </w:sdtPr>
        <w:sdtContent>
          <w:r w:rsidR="00B82961" w:rsidRPr="00640D01">
            <w:rPr>
              <w:rStyle w:val="Style2"/>
            </w:rPr>
            <w:t>[</w:t>
          </w:r>
          <w:r w:rsidR="00B82961" w:rsidRPr="00640D01">
            <w:rPr>
              <w:b/>
              <w:bCs/>
              <w:color w:val="C00000"/>
            </w:rPr>
            <w:t>MPO Name]</w:t>
          </w:r>
        </w:sdtContent>
      </w:sdt>
      <w:r w:rsidR="004F1D44" w:rsidRPr="00640D01">
        <w:t xml:space="preserve"> </w:t>
      </w:r>
      <w:r w:rsidR="00CC4D69" w:rsidRPr="00640D01">
        <w:t>metropolitan planning area (</w:t>
      </w:r>
      <w:r w:rsidR="000852A9" w:rsidRPr="00640D01">
        <w:t>MPA</w:t>
      </w:r>
      <w:r w:rsidR="00CC4D69" w:rsidRPr="00640D01">
        <w:t>)</w:t>
      </w:r>
      <w:r w:rsidR="000852A9" w:rsidRPr="00640D01">
        <w:t xml:space="preserve">. </w:t>
      </w:r>
      <w:r w:rsidR="00812861" w:rsidRPr="00640D01">
        <w:t xml:space="preserve">A complete listing of fiscally constrained projects, as proposed under this conformity determination, is provided </w:t>
      </w:r>
      <w:r w:rsidR="00684C90" w:rsidRPr="00640D01">
        <w:t>in</w:t>
      </w:r>
      <w:r w:rsidR="00260C63" w:rsidRPr="00640D01">
        <w:t xml:space="preserve"> </w:t>
      </w:r>
      <w:r w:rsidR="00260C63" w:rsidRPr="00176A31">
        <w:t>Appendix</w:t>
      </w:r>
      <w:r w:rsidR="00812861" w:rsidRPr="00176A31">
        <w:t xml:space="preserve"> </w:t>
      </w:r>
      <w:r w:rsidR="00FE45ED" w:rsidRPr="00640D01">
        <w:t xml:space="preserve">Section </w:t>
      </w:r>
      <w:r w:rsidR="00260C63" w:rsidRPr="00176A31">
        <w:fldChar w:fldCharType="begin"/>
      </w:r>
      <w:r w:rsidR="00260C63" w:rsidRPr="00176A31">
        <w:instrText xml:space="preserve"> REF _Ref159507696 \h  \* MERGEFORMAT </w:instrText>
      </w:r>
      <w:r w:rsidR="00260C63" w:rsidRPr="00176A31">
        <w:fldChar w:fldCharType="separate"/>
      </w:r>
      <w:r w:rsidR="00514311" w:rsidRPr="00640D01">
        <w:t>B.1 Project Listings</w:t>
      </w:r>
      <w:r w:rsidR="00260C63" w:rsidRPr="00176A31">
        <w:fldChar w:fldCharType="end"/>
      </w:r>
      <w:r w:rsidR="00812861" w:rsidRPr="00640D01">
        <w:t xml:space="preserve">. This listing denotes projects </w:t>
      </w:r>
      <w:r w:rsidR="00684C90" w:rsidRPr="00640D01">
        <w:t>that</w:t>
      </w:r>
      <w:r w:rsidR="00812861" w:rsidRPr="00640D01">
        <w:t xml:space="preserve"> are regionally significant or otherwise subject to transportation conformity and those projects </w:t>
      </w:r>
      <w:r w:rsidR="00684C90" w:rsidRPr="00640D01">
        <w:t>that</w:t>
      </w:r>
      <w:r w:rsidR="00812861" w:rsidRPr="00640D01">
        <w:t xml:space="preserve"> are exempt from transportation conformity, </w:t>
      </w:r>
      <w:r w:rsidR="00CC4D69" w:rsidRPr="00640D01">
        <w:t xml:space="preserve">are </w:t>
      </w:r>
      <w:r w:rsidR="00812861" w:rsidRPr="00640D01">
        <w:t>exempt from regional emissions analysis, or have been determined to be not regionally significant</w:t>
      </w:r>
      <w:r w:rsidR="00017A79" w:rsidRPr="00640D01">
        <w:t>.</w:t>
      </w:r>
    </w:p>
    <w:p w14:paraId="2443BC32" w14:textId="77777777" w:rsidR="00017A79" w:rsidRPr="00640D01" w:rsidRDefault="00017A79" w:rsidP="00322744">
      <w:pPr>
        <w:pStyle w:val="Heading3"/>
      </w:pPr>
      <w:bookmarkStart w:id="45" w:name="_Toc190242692"/>
      <w:r w:rsidRPr="00640D01">
        <w:t>Submittal Frequency</w:t>
      </w:r>
      <w:bookmarkEnd w:id="45"/>
    </w:p>
    <w:p w14:paraId="22B4122F" w14:textId="63D4F206" w:rsidR="00F2451A" w:rsidRPr="00640D01" w:rsidRDefault="00F2451A" w:rsidP="00CC4D69">
      <w:pPr>
        <w:pStyle w:val="BodyText"/>
      </w:pPr>
      <w:r w:rsidRPr="00640D01">
        <w:t xml:space="preserve">Consistent with the requirements of </w:t>
      </w:r>
      <w:hyperlink r:id="rId20" w:anchor=":~:text=%2DThe%20Secretary%20may%20not%20permit,Clean%20Air%20Act%20(42%20U.S.C." w:history="1">
        <w:r w:rsidRPr="00640D01">
          <w:rPr>
            <w:rStyle w:val="Hyperlink"/>
          </w:rPr>
          <w:t>23 USC 134</w:t>
        </w:r>
      </w:hyperlink>
      <w:r w:rsidRPr="00640D01">
        <w:t xml:space="preserve">, the </w:t>
      </w:r>
      <w:r w:rsidR="000D47D5" w:rsidRPr="00640D01">
        <w:t>transportation plan</w:t>
      </w:r>
      <w:r w:rsidR="0055318C" w:rsidRPr="00640D01">
        <w:t xml:space="preserve"> and/or TIP </w:t>
      </w:r>
      <w:r w:rsidR="00684C90" w:rsidRPr="00640D01">
        <w:t>are</w:t>
      </w:r>
      <w:r w:rsidRPr="00640D01">
        <w:t xml:space="preserve"> required to be updated every </w:t>
      </w:r>
      <w:r w:rsidR="00CC4D69" w:rsidRPr="00640D01">
        <w:t xml:space="preserve">4 </w:t>
      </w:r>
      <w:r w:rsidRPr="00640D01">
        <w:t xml:space="preserve">years. Since </w:t>
      </w:r>
      <w:r w:rsidR="00112EFB" w:rsidRPr="00640D01">
        <w:rPr>
          <w:b/>
          <w:bCs/>
          <w:color w:val="C00000"/>
        </w:rPr>
        <w:fldChar w:fldCharType="begin"/>
      </w:r>
      <w:r w:rsidR="00112EFB" w:rsidRPr="00640D01">
        <w:instrText xml:space="preserve"> REF RegionName \h </w:instrText>
      </w:r>
      <w:r w:rsidR="00112EFB" w:rsidRPr="00640D01">
        <w:rPr>
          <w:b/>
          <w:bCs/>
          <w:color w:val="C00000"/>
        </w:rPr>
      </w:r>
      <w:r w:rsidR="00112EFB" w:rsidRPr="00640D01">
        <w:rPr>
          <w:b/>
          <w:bCs/>
          <w:color w:val="C00000"/>
        </w:rPr>
        <w:fldChar w:fldCharType="separate"/>
      </w:r>
      <w:sdt>
        <w:sdtPr>
          <w:rPr>
            <w:b/>
            <w:bCs/>
            <w:color w:val="C00000"/>
          </w:rPr>
          <w:alias w:val="Region Name"/>
          <w:tag w:val="Region Name"/>
          <w:id w:val="-1244561001"/>
          <w:placeholder>
            <w:docPart w:val="E4362EF7420D42F3BA148012D1B84F24"/>
          </w:placeholder>
          <w:dropDownList>
            <w:listItem w:displayText="[Region name]" w:value="[Region name]"/>
            <w:listItem w:displayText="Beaumont-Port Arthur" w:value="Beaumont-Port Arthur"/>
            <w:listItem w:displayText="Dallas-Fort Worth" w:value="Dallas-Fort Worth"/>
            <w:listItem w:displayText="El Paso" w:value="El Paso"/>
            <w:listItem w:displayText="Houston-Galveston-Brazoria" w:value="Houston-Galveston-Brazoria"/>
            <w:listItem w:displayText="San Antonio" w:value="San Antonio"/>
          </w:dropDownList>
        </w:sdtPr>
        <w:sdtContent>
          <w:r w:rsidR="00514311">
            <w:rPr>
              <w:b/>
              <w:bCs/>
              <w:color w:val="C00000"/>
            </w:rPr>
            <w:t>[Region name]</w:t>
          </w:r>
        </w:sdtContent>
      </w:sdt>
      <w:r w:rsidR="00112EFB" w:rsidRPr="00640D01">
        <w:rPr>
          <w:b/>
          <w:bCs/>
          <w:color w:val="C00000"/>
        </w:rPr>
        <w:fldChar w:fldCharType="end"/>
      </w:r>
      <w:r w:rsidR="00514311">
        <w:rPr>
          <w:b/>
          <w:bCs/>
          <w:color w:val="C00000"/>
        </w:rPr>
        <w:t xml:space="preserve"> </w:t>
      </w:r>
      <w:r w:rsidRPr="00640D01">
        <w:t xml:space="preserve">is a non-attainment area for the </w:t>
      </w:r>
      <w:r w:rsidR="0074396E" w:rsidRPr="00640D01">
        <w:rPr>
          <w:rFonts w:eastAsia="MS Gothic" w:cs="Times New Roman"/>
          <w:color w:val="7030A0"/>
        </w:rPr>
        <w:t>[</w:t>
      </w:r>
      <w:r w:rsidR="0074396E" w:rsidRPr="00640D01">
        <w:rPr>
          <w:rFonts w:eastAsia="MS Gothic" w:cs="Times New Roman"/>
          <w:b/>
          <w:bCs/>
          <w:color w:val="7030A0"/>
        </w:rPr>
        <w:t>Name of NAAQS</w:t>
      </w:r>
      <w:r w:rsidR="00CC4D69" w:rsidRPr="00640D01">
        <w:rPr>
          <w:rFonts w:eastAsia="MS Gothic" w:cs="Times New Roman"/>
          <w:b/>
          <w:bCs/>
          <w:color w:val="7030A0"/>
        </w:rPr>
        <w:t xml:space="preserve"> </w:t>
      </w:r>
      <w:r w:rsidR="00CC4D69" w:rsidRPr="00176A31">
        <w:rPr>
          <w:rFonts w:eastAsia="MS Gothic" w:cs="Times New Roman"/>
          <w:color w:val="7030A0"/>
        </w:rPr>
        <w:t>(</w:t>
      </w:r>
      <w:r w:rsidR="00CC4D69" w:rsidRPr="00640D01">
        <w:rPr>
          <w:rFonts w:eastAsia="MS Gothic" w:cs="Times New Roman"/>
          <w:color w:val="7030A0"/>
        </w:rPr>
        <w:t>e</w:t>
      </w:r>
      <w:r w:rsidR="0074396E" w:rsidRPr="00640D01">
        <w:rPr>
          <w:rFonts w:eastAsia="MS Gothic" w:cs="Times New Roman"/>
          <w:color w:val="7030A0"/>
        </w:rPr>
        <w:t xml:space="preserve">.g., 2015 </w:t>
      </w:r>
      <w:r w:rsidR="00CC4D69" w:rsidRPr="00640D01">
        <w:rPr>
          <w:rFonts w:eastAsia="MS Gothic" w:cs="Times New Roman"/>
          <w:color w:val="7030A0"/>
        </w:rPr>
        <w:t>ozone</w:t>
      </w:r>
      <w:r w:rsidR="0074396E" w:rsidRPr="00640D01">
        <w:rPr>
          <w:rFonts w:eastAsia="MS Gothic" w:cs="Times New Roman"/>
          <w:color w:val="7030A0"/>
        </w:rPr>
        <w:t>, PM</w:t>
      </w:r>
      <w:r w:rsidR="0074396E" w:rsidRPr="00176A31">
        <w:rPr>
          <w:rFonts w:eastAsia="MS Gothic" w:cs="Times New Roman"/>
          <w:color w:val="7030A0"/>
          <w:vertAlign w:val="subscript"/>
        </w:rPr>
        <w:t>10</w:t>
      </w:r>
      <w:r w:rsidR="0074396E" w:rsidRPr="00640D01">
        <w:rPr>
          <w:rFonts w:eastAsia="MS Gothic" w:cs="Times New Roman"/>
          <w:color w:val="7030A0"/>
        </w:rPr>
        <w:t>, etc.</w:t>
      </w:r>
      <w:r w:rsidR="00CC4D69" w:rsidRPr="00640D01">
        <w:rPr>
          <w:rFonts w:eastAsia="MS Gothic" w:cs="Times New Roman"/>
          <w:color w:val="7030A0"/>
        </w:rPr>
        <w:t>)</w:t>
      </w:r>
      <w:r w:rsidR="0074396E" w:rsidRPr="00640D01">
        <w:rPr>
          <w:rFonts w:eastAsia="MS Gothic" w:cs="Times New Roman"/>
          <w:color w:val="7030A0"/>
        </w:rPr>
        <w:t>]</w:t>
      </w:r>
      <w:r w:rsidR="0074396E" w:rsidRPr="00640D01">
        <w:rPr>
          <w:rFonts w:eastAsia="MS Gothic" w:cs="Times New Roman"/>
        </w:rPr>
        <w:t xml:space="preserve">, </w:t>
      </w:r>
      <w:r w:rsidRPr="00640D01">
        <w:t xml:space="preserve">every amendment or update to the </w:t>
      </w:r>
      <w:r w:rsidR="00720EA3" w:rsidRPr="00640D01">
        <w:t xml:space="preserve">transportation plan </w:t>
      </w:r>
      <w:r w:rsidR="0055318C" w:rsidRPr="00640D01">
        <w:t xml:space="preserve">and/or TIP </w:t>
      </w:r>
      <w:r w:rsidRPr="00640D01">
        <w:t xml:space="preserve">must show conformity to the air quality budgets coming from the latest revisions to the </w:t>
      </w:r>
      <w:r w:rsidR="00E15185" w:rsidRPr="00640D01">
        <w:t xml:space="preserve">SIP. </w:t>
      </w:r>
      <w:r w:rsidRPr="00640D01">
        <w:t xml:space="preserve">If more than </w:t>
      </w:r>
      <w:r w:rsidR="00CC4D69" w:rsidRPr="00640D01">
        <w:t xml:space="preserve">4 </w:t>
      </w:r>
      <w:r w:rsidRPr="00640D01">
        <w:t xml:space="preserve">years elapse after </w:t>
      </w:r>
      <w:r w:rsidR="00E15185" w:rsidRPr="00640D01">
        <w:t xml:space="preserve">DOT’s </w:t>
      </w:r>
      <w:r w:rsidR="00CC4D69" w:rsidRPr="00640D01">
        <w:t xml:space="preserve">transportation conformity </w:t>
      </w:r>
      <w:r w:rsidRPr="00640D01">
        <w:t>determination for a plan update, a 12-month grace period shall be in force. At the end of this 12</w:t>
      </w:r>
      <w:r w:rsidR="00CC4D69" w:rsidRPr="00640D01">
        <w:noBreakHyphen/>
      </w:r>
      <w:r w:rsidRPr="00640D01">
        <w:t xml:space="preserve">month grace period, </w:t>
      </w:r>
      <w:r w:rsidR="00FE45ED" w:rsidRPr="00640D01">
        <w:t xml:space="preserve">DOT’s </w:t>
      </w:r>
      <w:r w:rsidRPr="00640D01">
        <w:t xml:space="preserve">existing </w:t>
      </w:r>
      <w:r w:rsidR="00CC4D69" w:rsidRPr="00640D01">
        <w:t xml:space="preserve">transportation conformity </w:t>
      </w:r>
      <w:r w:rsidRPr="00640D01">
        <w:t xml:space="preserve">determination will lapse. </w:t>
      </w:r>
    </w:p>
    <w:p w14:paraId="74F1F3EC" w14:textId="3D944F5B" w:rsidR="00322744" w:rsidRPr="00640D01" w:rsidRDefault="00F2451A" w:rsidP="00CC4D69">
      <w:pPr>
        <w:pStyle w:val="BodyText"/>
      </w:pPr>
      <w:r w:rsidRPr="00640D01">
        <w:t xml:space="preserve">A conformity determination for a transportation plan must be based on the </w:t>
      </w:r>
      <w:r w:rsidR="00720EA3" w:rsidRPr="00640D01">
        <w:t xml:space="preserve">transportation </w:t>
      </w:r>
      <w:r w:rsidRPr="00640D01">
        <w:t xml:space="preserve">plan and all amendments. According to </w:t>
      </w:r>
      <w:hyperlink r:id="rId21" w:history="1">
        <w:r w:rsidRPr="00640D01">
          <w:rPr>
            <w:rStyle w:val="Hyperlink"/>
          </w:rPr>
          <w:t>40 CFR 93.104</w:t>
        </w:r>
      </w:hyperlink>
      <w:r w:rsidRPr="00640D01">
        <w:t xml:space="preserve">, </w:t>
      </w:r>
      <w:r w:rsidR="00BC7F10" w:rsidRPr="00640D01">
        <w:t xml:space="preserve">each new </w:t>
      </w:r>
      <w:r w:rsidR="000D47D5" w:rsidRPr="00640D01">
        <w:t>transportation plan</w:t>
      </w:r>
      <w:r w:rsidR="00AB69BE" w:rsidRPr="00640D01">
        <w:t xml:space="preserve"> and/or TIP</w:t>
      </w:r>
      <w:r w:rsidR="00697B8E" w:rsidRPr="00640D01">
        <w:t xml:space="preserve"> </w:t>
      </w:r>
      <w:r w:rsidRPr="00640D01">
        <w:t xml:space="preserve">update or amendment must be demonstrated to conform before amendments are approved by </w:t>
      </w:r>
      <w:r w:rsidR="00B82961" w:rsidRPr="00640D01">
        <w:t xml:space="preserve">the </w:t>
      </w:r>
      <w:sdt>
        <w:sdtPr>
          <w:alias w:val="Select MPO"/>
          <w:tag w:val="Select MPO"/>
          <w:id w:val="-2132161978"/>
          <w:placeholder>
            <w:docPart w:val="CB790202E78C4D008499CE7E29766708"/>
          </w:placeholder>
          <w:showingPlcHdr/>
          <w:dropDownList>
            <w:listItem w:value="Choose an item."/>
            <w:listItem w:displayText="AAMPO" w:value="AAMPO"/>
            <w:listItem w:displayText="El Paso MPO" w:value="El Paso MPO"/>
            <w:listItem w:displayText="H-GAC" w:value="H-GAC"/>
            <w:listItem w:displayText="NCTCOG" w:value="NCTCOG"/>
            <w:listItem w:displayText="SETRPC" w:value="SETRPC"/>
          </w:dropDownList>
        </w:sdtPr>
        <w:sdtContent>
          <w:r w:rsidR="00B82961" w:rsidRPr="00640D01">
            <w:rPr>
              <w:rStyle w:val="Style2"/>
            </w:rPr>
            <w:t>[</w:t>
          </w:r>
          <w:r w:rsidR="00B82961" w:rsidRPr="00640D01">
            <w:rPr>
              <w:b/>
              <w:bCs/>
              <w:color w:val="C00000"/>
            </w:rPr>
            <w:t>MPO Name]</w:t>
          </w:r>
        </w:sdtContent>
      </w:sdt>
      <w:r w:rsidR="004F1D44" w:rsidRPr="00640D01">
        <w:t xml:space="preserve"> </w:t>
      </w:r>
      <w:r w:rsidR="008E6C9A" w:rsidRPr="00640D01">
        <w:t xml:space="preserve">Policy Board </w:t>
      </w:r>
      <w:r w:rsidRPr="00640D01">
        <w:t xml:space="preserve">or accepted by DOT unless the amendment merely adds or deletes exempt projects listed in </w:t>
      </w:r>
      <w:hyperlink r:id="rId22" w:history="1">
        <w:r w:rsidRPr="00640D01">
          <w:rPr>
            <w:rStyle w:val="Hyperlink"/>
          </w:rPr>
          <w:t>40 CFR 93.126</w:t>
        </w:r>
      </w:hyperlink>
      <w:r w:rsidR="00E2587E" w:rsidRPr="00640D01">
        <w:t xml:space="preserve">, </w:t>
      </w:r>
      <w:hyperlink r:id="rId23" w:history="1">
        <w:r w:rsidR="00CC4D69" w:rsidRPr="00640D01">
          <w:rPr>
            <w:rStyle w:val="Hyperlink"/>
          </w:rPr>
          <w:t>9</w:t>
        </w:r>
        <w:r w:rsidRPr="00640D01">
          <w:rPr>
            <w:rStyle w:val="Hyperlink"/>
          </w:rPr>
          <w:t>3.127</w:t>
        </w:r>
      </w:hyperlink>
      <w:r w:rsidR="000F06CB" w:rsidRPr="00640D01">
        <w:t xml:space="preserve">, or </w:t>
      </w:r>
      <w:hyperlink r:id="rId24" w:history="1">
        <w:r w:rsidR="000F06CB" w:rsidRPr="00640D01">
          <w:rPr>
            <w:rStyle w:val="Hyperlink"/>
          </w:rPr>
          <w:t>9</w:t>
        </w:r>
        <w:r w:rsidR="00CC4D69" w:rsidRPr="00640D01">
          <w:rPr>
            <w:rStyle w:val="Hyperlink"/>
          </w:rPr>
          <w:t>9</w:t>
        </w:r>
        <w:r w:rsidR="000F06CB" w:rsidRPr="00640D01">
          <w:rPr>
            <w:rStyle w:val="Hyperlink"/>
          </w:rPr>
          <w:t>3.128</w:t>
        </w:r>
      </w:hyperlink>
      <w:r w:rsidRPr="00640D01">
        <w:t>.</w:t>
      </w:r>
    </w:p>
    <w:p w14:paraId="01429387" w14:textId="2A156693" w:rsidR="00F41249" w:rsidRPr="00640D01" w:rsidRDefault="00AC6B50" w:rsidP="00CC4D69">
      <w:pPr>
        <w:pStyle w:val="BodyText"/>
      </w:pPr>
      <w:r w:rsidRPr="00640D01">
        <w:t xml:space="preserve">According to </w:t>
      </w:r>
      <w:hyperlink r:id="rId25" w:history="1">
        <w:r w:rsidRPr="00640D01">
          <w:rPr>
            <w:rStyle w:val="Hyperlink"/>
          </w:rPr>
          <w:t>42 USC 7506 I(2)(E)</w:t>
        </w:r>
      </w:hyperlink>
      <w:r w:rsidRPr="00640D01">
        <w:t xml:space="preserve">, </w:t>
      </w:r>
      <w:r w:rsidR="00F41249" w:rsidRPr="00640D01">
        <w:t>the MPO must</w:t>
      </w:r>
      <w:r w:rsidRPr="00640D01">
        <w:t xml:space="preserve"> redetermine </w:t>
      </w:r>
      <w:r w:rsidR="00CC4D69" w:rsidRPr="00640D01">
        <w:t xml:space="preserve">the </w:t>
      </w:r>
      <w:r w:rsidRPr="00640D01">
        <w:t>conformity of existing transportation plans and program</w:t>
      </w:r>
      <w:r w:rsidR="00684C90" w:rsidRPr="00640D01">
        <w:t>s</w:t>
      </w:r>
      <w:r w:rsidRPr="00640D01">
        <w:t xml:space="preserve"> not later than </w:t>
      </w:r>
      <w:r w:rsidR="00CC4D69" w:rsidRPr="00640D01">
        <w:t xml:space="preserve">2 </w:t>
      </w:r>
      <w:r w:rsidRPr="00640D01">
        <w:t xml:space="preserve">years after the date on which the </w:t>
      </w:r>
      <w:r w:rsidR="00CC4D69" w:rsidRPr="00640D01">
        <w:t>administrator</w:t>
      </w:r>
      <w:r w:rsidRPr="00640D01">
        <w:t xml:space="preserve">: </w:t>
      </w:r>
    </w:p>
    <w:p w14:paraId="5A7DA782" w14:textId="12E18A9E" w:rsidR="00F41249" w:rsidRPr="00640D01" w:rsidRDefault="00285D77" w:rsidP="00176A31">
      <w:pPr>
        <w:pStyle w:val="ListBulletroman"/>
      </w:pPr>
      <w:r w:rsidRPr="00640D01">
        <w:t>F</w:t>
      </w:r>
      <w:r w:rsidR="00AC6B50" w:rsidRPr="00640D01">
        <w:t xml:space="preserve">inds a motor vehicle emissions budget to be adequate </w:t>
      </w:r>
      <w:r w:rsidR="00684C90" w:rsidRPr="00640D01">
        <w:t>per</w:t>
      </w:r>
      <w:r w:rsidR="00AC6B50" w:rsidRPr="00640D01">
        <w:t xml:space="preserve"> </w:t>
      </w:r>
      <w:hyperlink r:id="rId26" w:history="1">
        <w:r w:rsidR="00971329" w:rsidRPr="00640D01">
          <w:rPr>
            <w:rStyle w:val="Hyperlink"/>
            <w:color w:val="auto"/>
            <w:u w:val="none"/>
          </w:rPr>
          <w:t xml:space="preserve">40 CFR </w:t>
        </w:r>
        <w:r w:rsidR="00AC6B50" w:rsidRPr="00640D01">
          <w:rPr>
            <w:rStyle w:val="Hyperlink"/>
            <w:color w:val="auto"/>
            <w:u w:val="none"/>
          </w:rPr>
          <w:t>93.118(e)(4)</w:t>
        </w:r>
      </w:hyperlink>
      <w:r w:rsidR="00AC6B50" w:rsidRPr="00640D01">
        <w:t xml:space="preserve"> (as in effect on October 1, 2004); </w:t>
      </w:r>
    </w:p>
    <w:p w14:paraId="33EFD80B" w14:textId="6B1B7409" w:rsidR="00F41249" w:rsidRPr="00640D01" w:rsidRDefault="00285D77" w:rsidP="00176A31">
      <w:pPr>
        <w:pStyle w:val="ListBulletroman"/>
      </w:pPr>
      <w:r w:rsidRPr="00640D01">
        <w:t>A</w:t>
      </w:r>
      <w:r w:rsidR="00AC6B50" w:rsidRPr="00640D01">
        <w:t xml:space="preserve">pproves an implementation plan that establishes a motor vehicle emissions budget if that budget has not yet been determined to be adequate </w:t>
      </w:r>
      <w:r w:rsidR="00684C90" w:rsidRPr="00640D01">
        <w:t>per</w:t>
      </w:r>
      <w:r w:rsidR="00AC6B50" w:rsidRPr="00640D01">
        <w:t xml:space="preserve"> clause (i); or </w:t>
      </w:r>
    </w:p>
    <w:p w14:paraId="219DFD3E" w14:textId="05C12568" w:rsidR="00CC4D69" w:rsidRPr="00640D01" w:rsidRDefault="00285D77" w:rsidP="00176A31">
      <w:pPr>
        <w:pStyle w:val="ListBulletroman"/>
      </w:pPr>
      <w:r w:rsidRPr="00640D01">
        <w:t>P</w:t>
      </w:r>
      <w:r w:rsidR="00AC6B50" w:rsidRPr="00640D01">
        <w:t xml:space="preserve">romulgates an implementation plan that establishes or revises a </w:t>
      </w:r>
      <w:r w:rsidR="00514311">
        <w:t>MVEB</w:t>
      </w:r>
      <w:r w:rsidR="00AC6B50" w:rsidRPr="00640D01">
        <w:t>.</w:t>
      </w:r>
    </w:p>
    <w:p w14:paraId="5597A25B" w14:textId="77777777" w:rsidR="00017A79" w:rsidRPr="00640D01" w:rsidRDefault="00017A79" w:rsidP="00322744">
      <w:pPr>
        <w:pStyle w:val="Heading3"/>
      </w:pPr>
      <w:bookmarkStart w:id="46" w:name="_Toc190242693"/>
      <w:r w:rsidRPr="00640D01">
        <w:lastRenderedPageBreak/>
        <w:t>Fiscal Constraints</w:t>
      </w:r>
      <w:bookmarkEnd w:id="46"/>
    </w:p>
    <w:p w14:paraId="3BACF43A" w14:textId="33DB4512" w:rsidR="00F01427" w:rsidRPr="00640D01" w:rsidRDefault="00015A74" w:rsidP="00CC4D69">
      <w:r w:rsidRPr="00640D01">
        <w:t xml:space="preserve">All transportation plans prepared by the MPO are required to be fiscally constrained. Fiscal constraint is demonstrated by a financial plan that outlines reasonably available future revenues to implement the projects listed in the </w:t>
      </w:r>
      <w:r w:rsidR="00BD02EF" w:rsidRPr="00640D01">
        <w:t>transportation plan</w:t>
      </w:r>
      <w:r w:rsidRPr="00640D01">
        <w:t xml:space="preserve">. </w:t>
      </w:r>
      <w:r w:rsidR="00FE45ED" w:rsidRPr="00640D01">
        <w:t>The constraints are:</w:t>
      </w:r>
    </w:p>
    <w:p w14:paraId="2ED9B9DE" w14:textId="34A4B5FB" w:rsidR="00015A74" w:rsidRPr="00640D01" w:rsidRDefault="00610B69" w:rsidP="00CC4D69">
      <w:pPr>
        <w:pStyle w:val="ListBullet"/>
      </w:pPr>
      <w:r w:rsidRPr="00640D01">
        <w:rPr>
          <w:b/>
          <w:bCs/>
        </w:rPr>
        <w:t>Long-</w:t>
      </w:r>
      <w:r w:rsidR="00AC565C" w:rsidRPr="00640D01">
        <w:rPr>
          <w:b/>
          <w:bCs/>
        </w:rPr>
        <w:t>range financial constraint</w:t>
      </w:r>
      <w:r w:rsidRPr="00640D01">
        <w:rPr>
          <w:b/>
          <w:bCs/>
        </w:rPr>
        <w:t>:</w:t>
      </w:r>
      <w:r w:rsidRPr="00640D01">
        <w:t xml:space="preserve"> </w:t>
      </w:r>
      <w:r w:rsidR="00960F7F" w:rsidRPr="00640D01">
        <w:t xml:space="preserve">The transportation plans’ financial element must identify all sources of funds reasonably expected to be available and any innovative financial strategies that may be necessary to implement the transportation plans. </w:t>
      </w:r>
      <w:r w:rsidR="00015A74" w:rsidRPr="00640D01">
        <w:t xml:space="preserve">The </w:t>
      </w:r>
      <w:r w:rsidR="00D231FC" w:rsidRPr="00640D01">
        <w:rPr>
          <w:color w:val="7030A0"/>
        </w:rPr>
        <w:fldChar w:fldCharType="begin"/>
      </w:r>
      <w:r w:rsidR="00D231FC" w:rsidRPr="00640D01">
        <w:instrText xml:space="preserve"> REF MTPRTP \h </w:instrText>
      </w:r>
      <w:r w:rsidR="00D231FC" w:rsidRPr="00640D01">
        <w:rPr>
          <w:color w:val="7030A0"/>
        </w:rPr>
      </w:r>
      <w:r w:rsidR="00D231FC" w:rsidRPr="00640D01">
        <w:rPr>
          <w:color w:val="7030A0"/>
        </w:rPr>
        <w:fldChar w:fldCharType="separate"/>
      </w:r>
      <w:r w:rsidR="00514311" w:rsidRPr="00640D01">
        <w:rPr>
          <w:b/>
          <w:bCs/>
          <w:color w:val="C00000"/>
        </w:rPr>
        <w:t>[Name of RTP/MTP]</w:t>
      </w:r>
      <w:r w:rsidR="00D231FC" w:rsidRPr="00640D01">
        <w:rPr>
          <w:color w:val="7030A0"/>
        </w:rPr>
        <w:fldChar w:fldCharType="end"/>
      </w:r>
      <w:r w:rsidR="00FE45ED" w:rsidRPr="00640D01">
        <w:rPr>
          <w:color w:val="7030A0"/>
        </w:rPr>
        <w:t xml:space="preserve"> </w:t>
      </w:r>
      <w:r w:rsidR="0074396E" w:rsidRPr="00640D01">
        <w:rPr>
          <w:color w:val="000000" w:themeColor="text1"/>
        </w:rPr>
        <w:t xml:space="preserve">update </w:t>
      </w:r>
      <w:r w:rsidR="00015A74" w:rsidRPr="00640D01">
        <w:t xml:space="preserve">estimates </w:t>
      </w:r>
      <w:r w:rsidR="00676AD2" w:rsidRPr="00640D01">
        <w:rPr>
          <w:color w:val="7030A0"/>
        </w:rPr>
        <w:t>[</w:t>
      </w:r>
      <w:r w:rsidR="00676AD2" w:rsidRPr="00640D01">
        <w:rPr>
          <w:b/>
          <w:bCs/>
          <w:color w:val="7030A0"/>
        </w:rPr>
        <w:t>dollar amount, $</w:t>
      </w:r>
      <w:r w:rsidR="00676AD2" w:rsidRPr="00640D01">
        <w:rPr>
          <w:color w:val="7030A0"/>
        </w:rPr>
        <w:t xml:space="preserve">] </w:t>
      </w:r>
      <w:r w:rsidR="00015A74" w:rsidRPr="00640D01">
        <w:t xml:space="preserve">of revenue to be reasonably available to implement the recommendations. </w:t>
      </w:r>
      <w:r w:rsidR="0074396E" w:rsidRPr="00640D01">
        <w:t xml:space="preserve">The </w:t>
      </w:r>
      <w:r w:rsidR="00D231FC" w:rsidRPr="00640D01">
        <w:rPr>
          <w:color w:val="7030A0"/>
        </w:rPr>
        <w:fldChar w:fldCharType="begin"/>
      </w:r>
      <w:r w:rsidR="00D231FC" w:rsidRPr="00640D01">
        <w:instrText xml:space="preserve"> REF MTPRTP \h </w:instrText>
      </w:r>
      <w:r w:rsidR="00D231FC" w:rsidRPr="00640D01">
        <w:rPr>
          <w:color w:val="7030A0"/>
        </w:rPr>
      </w:r>
      <w:r w:rsidR="00D231FC" w:rsidRPr="00640D01">
        <w:rPr>
          <w:color w:val="7030A0"/>
        </w:rPr>
        <w:fldChar w:fldCharType="separate"/>
      </w:r>
      <w:r w:rsidR="00514311" w:rsidRPr="00640D01">
        <w:rPr>
          <w:b/>
          <w:bCs/>
          <w:color w:val="C00000"/>
        </w:rPr>
        <w:t>[Name of RTP/MTP]</w:t>
      </w:r>
      <w:r w:rsidR="00D231FC" w:rsidRPr="00640D01">
        <w:rPr>
          <w:color w:val="7030A0"/>
        </w:rPr>
        <w:fldChar w:fldCharType="end"/>
      </w:r>
      <w:r w:rsidR="00FE45ED" w:rsidRPr="00640D01">
        <w:rPr>
          <w:color w:val="7030A0"/>
        </w:rPr>
        <w:t xml:space="preserve"> </w:t>
      </w:r>
      <w:r w:rsidR="00257033" w:rsidRPr="00640D01">
        <w:t xml:space="preserve">update’s </w:t>
      </w:r>
      <w:r w:rsidR="00015A74" w:rsidRPr="00640D01">
        <w:t xml:space="preserve">total expenditure is estimated to be approximately </w:t>
      </w:r>
      <w:r w:rsidR="00257033" w:rsidRPr="00640D01">
        <w:rPr>
          <w:color w:val="7030A0"/>
        </w:rPr>
        <w:t>[</w:t>
      </w:r>
      <w:r w:rsidR="00257033" w:rsidRPr="00640D01">
        <w:rPr>
          <w:b/>
          <w:bCs/>
          <w:color w:val="7030A0"/>
        </w:rPr>
        <w:t>dollar amount, $</w:t>
      </w:r>
      <w:r w:rsidR="00257033" w:rsidRPr="00640D01">
        <w:rPr>
          <w:color w:val="7030A0"/>
        </w:rPr>
        <w:t>]</w:t>
      </w:r>
      <w:r w:rsidR="00015A74" w:rsidRPr="00640D01">
        <w:rPr>
          <w:color w:val="7030A0"/>
        </w:rPr>
        <w:t>.</w:t>
      </w:r>
    </w:p>
    <w:p w14:paraId="7E67A051" w14:textId="6AC10F3E" w:rsidR="005C0014" w:rsidRPr="00640D01" w:rsidRDefault="00610B69" w:rsidP="00CC4D69">
      <w:pPr>
        <w:pStyle w:val="ListBullet"/>
      </w:pPr>
      <w:r w:rsidRPr="00640D01">
        <w:rPr>
          <w:b/>
          <w:bCs/>
        </w:rPr>
        <w:t>Short-</w:t>
      </w:r>
      <w:r w:rsidR="00AC565C" w:rsidRPr="00640D01">
        <w:rPr>
          <w:b/>
          <w:bCs/>
        </w:rPr>
        <w:t>range financial constraint</w:t>
      </w:r>
      <w:r w:rsidRPr="00640D01">
        <w:t xml:space="preserve">: </w:t>
      </w:r>
      <w:r w:rsidR="00332459" w:rsidRPr="00640D01">
        <w:t xml:space="preserve">Financial constraint is also required for a conforming TIP, with funds programmed being equal to the total funds available. The TIP comprises the first </w:t>
      </w:r>
      <w:r w:rsidR="00AC565C" w:rsidRPr="00640D01">
        <w:t xml:space="preserve">4 </w:t>
      </w:r>
      <w:r w:rsidR="00332459" w:rsidRPr="00640D01">
        <w:t xml:space="preserve">years of transportation activities in the transportation plan. </w:t>
      </w:r>
      <w:r w:rsidR="005C0014" w:rsidRPr="00640D01">
        <w:t xml:space="preserve">The </w:t>
      </w:r>
      <w:r w:rsidR="00D231FC" w:rsidRPr="00640D01">
        <w:fldChar w:fldCharType="begin"/>
      </w:r>
      <w:r w:rsidR="00D231FC" w:rsidRPr="00640D01">
        <w:instrText xml:space="preserve"> REF TIPName \h </w:instrText>
      </w:r>
      <w:r w:rsidR="00D231FC" w:rsidRPr="00640D01">
        <w:fldChar w:fldCharType="separate"/>
      </w:r>
      <w:r w:rsidR="00514311" w:rsidRPr="00640D01">
        <w:rPr>
          <w:b/>
          <w:bCs/>
          <w:color w:val="C00000"/>
        </w:rPr>
        <w:t>[Name of TIP]</w:t>
      </w:r>
      <w:r w:rsidR="00D231FC" w:rsidRPr="00640D01">
        <w:fldChar w:fldCharType="end"/>
      </w:r>
      <w:r w:rsidR="00FE45ED" w:rsidRPr="00640D01">
        <w:t xml:space="preserve"> </w:t>
      </w:r>
      <w:r w:rsidR="005C0014" w:rsidRPr="00640D01">
        <w:t xml:space="preserve">amendment estimates </w:t>
      </w:r>
      <w:r w:rsidR="005C0014" w:rsidRPr="00640D01">
        <w:rPr>
          <w:color w:val="7030A0"/>
        </w:rPr>
        <w:t>[</w:t>
      </w:r>
      <w:r w:rsidR="005C0014" w:rsidRPr="00640D01">
        <w:rPr>
          <w:b/>
          <w:bCs/>
          <w:color w:val="7030A0"/>
        </w:rPr>
        <w:t>dollar amount, $</w:t>
      </w:r>
      <w:r w:rsidR="005C0014" w:rsidRPr="00640D01">
        <w:rPr>
          <w:color w:val="7030A0"/>
        </w:rPr>
        <w:t xml:space="preserve">] </w:t>
      </w:r>
      <w:r w:rsidR="005C0014" w:rsidRPr="00640D01">
        <w:t xml:space="preserve">of revenue to be reasonably available to implement the recommendations. The </w:t>
      </w:r>
      <w:r w:rsidR="00D231FC" w:rsidRPr="00640D01">
        <w:fldChar w:fldCharType="begin"/>
      </w:r>
      <w:r w:rsidR="00D231FC" w:rsidRPr="00640D01">
        <w:instrText xml:space="preserve"> REF TIPName \h </w:instrText>
      </w:r>
      <w:r w:rsidR="00D231FC" w:rsidRPr="00640D01">
        <w:fldChar w:fldCharType="separate"/>
      </w:r>
      <w:r w:rsidR="00514311" w:rsidRPr="00640D01">
        <w:rPr>
          <w:b/>
          <w:bCs/>
          <w:color w:val="C00000"/>
        </w:rPr>
        <w:t>[Name of TIP]</w:t>
      </w:r>
      <w:r w:rsidR="00D231FC" w:rsidRPr="00640D01">
        <w:fldChar w:fldCharType="end"/>
      </w:r>
      <w:r w:rsidR="00FE45ED" w:rsidRPr="00640D01">
        <w:t xml:space="preserve"> </w:t>
      </w:r>
      <w:r w:rsidR="005C0014" w:rsidRPr="00640D01">
        <w:t xml:space="preserve">amendment’s total expenditure is estimated to be approximately </w:t>
      </w:r>
      <w:r w:rsidR="005C0014" w:rsidRPr="00640D01">
        <w:rPr>
          <w:color w:val="7030A0"/>
        </w:rPr>
        <w:t>[</w:t>
      </w:r>
      <w:r w:rsidR="005C0014" w:rsidRPr="00640D01">
        <w:rPr>
          <w:b/>
          <w:bCs/>
          <w:color w:val="7030A0"/>
        </w:rPr>
        <w:t>dollar amount, $</w:t>
      </w:r>
      <w:r w:rsidR="005C0014" w:rsidRPr="00640D01">
        <w:rPr>
          <w:color w:val="7030A0"/>
        </w:rPr>
        <w:t>].</w:t>
      </w:r>
    </w:p>
    <w:p w14:paraId="353C4EE2" w14:textId="77777777" w:rsidR="00017A79" w:rsidRPr="00640D01" w:rsidRDefault="00017A79" w:rsidP="0011731C">
      <w:pPr>
        <w:pStyle w:val="Heading2"/>
      </w:pPr>
      <w:bookmarkStart w:id="47" w:name="_Toc190242694"/>
      <w:r w:rsidRPr="00640D01">
        <w:t>Regional Significant Control Program</w:t>
      </w:r>
      <w:bookmarkEnd w:id="47"/>
    </w:p>
    <w:p w14:paraId="5C6CFF4F" w14:textId="7F6EC823" w:rsidR="003C61B4" w:rsidRPr="00640D01" w:rsidRDefault="009F4A9B" w:rsidP="00CC4D69">
      <w:pPr>
        <w:pStyle w:val="BodyText"/>
      </w:pPr>
      <w:r w:rsidRPr="00640D01">
        <w:t xml:space="preserve">Each </w:t>
      </w:r>
      <w:r w:rsidR="005B67E5" w:rsidRPr="00640D01">
        <w:t>SIP</w:t>
      </w:r>
      <w:r w:rsidRPr="00640D01">
        <w:t xml:space="preserve"> submitted by a state under Section 110 of the</w:t>
      </w:r>
      <w:r w:rsidR="009E747B" w:rsidRPr="00640D01">
        <w:t xml:space="preserve"> CAAA </w:t>
      </w:r>
      <w:r w:rsidRPr="00640D01">
        <w:t xml:space="preserve">shall include enforceable emission limitations and other control measures, means, or techniques, as well as schedules and timetables for compliance to meet the applicable requirements of the </w:t>
      </w:r>
      <w:r w:rsidR="00AC565C" w:rsidRPr="00640D01">
        <w:t>act</w:t>
      </w:r>
      <w:r w:rsidRPr="00640D01">
        <w:t xml:space="preserve">. No MPO designated under </w:t>
      </w:r>
      <w:hyperlink r:id="rId27" w:history="1">
        <w:r w:rsidR="009E747B" w:rsidRPr="00640D01">
          <w:rPr>
            <w:rStyle w:val="Hyperlink"/>
          </w:rPr>
          <w:t>23 USC</w:t>
        </w:r>
        <w:r w:rsidRPr="00640D01">
          <w:rPr>
            <w:rStyle w:val="Hyperlink"/>
          </w:rPr>
          <w:t xml:space="preserve"> 134</w:t>
        </w:r>
      </w:hyperlink>
      <w:r w:rsidRPr="00640D01">
        <w:t xml:space="preserve"> shall give its approval to any project,</w:t>
      </w:r>
      <w:r w:rsidR="009E747B" w:rsidRPr="00640D01">
        <w:t xml:space="preserve"> program, or plan that does not conform to an implementation plan. </w:t>
      </w:r>
      <w:r w:rsidR="00AC565C" w:rsidRPr="00640D01">
        <w:t xml:space="preserve">The following </w:t>
      </w:r>
      <w:r w:rsidR="000D033A" w:rsidRPr="00640D01">
        <w:t xml:space="preserve">are the provisions written in the </w:t>
      </w:r>
      <w:r w:rsidR="003C043F" w:rsidRPr="00640D01">
        <w:t>SIPs</w:t>
      </w:r>
      <w:r w:rsidR="000D033A" w:rsidRPr="00640D01">
        <w:t xml:space="preserve"> for the nonattainment pollutants dealing with transportation-related measures</w:t>
      </w:r>
      <w:r w:rsidR="003C043F" w:rsidRPr="00640D01">
        <w:t>:</w:t>
      </w:r>
    </w:p>
    <w:p w14:paraId="36DACBD0" w14:textId="52AE4555" w:rsidR="009F4A9B" w:rsidRPr="00640D01" w:rsidRDefault="003C043F" w:rsidP="00CC4D69">
      <w:pPr>
        <w:pStyle w:val="ListNumber"/>
        <w:rPr>
          <w:color w:val="7030A0"/>
        </w:rPr>
      </w:pPr>
      <w:r w:rsidRPr="00640D01">
        <w:rPr>
          <w:color w:val="7030A0"/>
        </w:rPr>
        <w:t xml:space="preserve">[Title of </w:t>
      </w:r>
      <w:r w:rsidR="00FE45ED" w:rsidRPr="00640D01">
        <w:rPr>
          <w:color w:val="7030A0"/>
        </w:rPr>
        <w:t>program</w:t>
      </w:r>
      <w:r w:rsidRPr="00640D01">
        <w:rPr>
          <w:color w:val="7030A0"/>
        </w:rPr>
        <w:t>]</w:t>
      </w:r>
      <w:r w:rsidR="00AC565C" w:rsidRPr="00640D01">
        <w:rPr>
          <w:color w:val="7030A0"/>
        </w:rPr>
        <w:t>—</w:t>
      </w:r>
      <w:r w:rsidRPr="00640D01">
        <w:rPr>
          <w:color w:val="7030A0"/>
        </w:rPr>
        <w:t>[</w:t>
      </w:r>
      <w:r w:rsidR="00AC565C" w:rsidRPr="00640D01">
        <w:rPr>
          <w:color w:val="7030A0"/>
        </w:rPr>
        <w:t xml:space="preserve">description </w:t>
      </w:r>
      <w:r w:rsidRPr="00640D01">
        <w:rPr>
          <w:color w:val="7030A0"/>
        </w:rPr>
        <w:t>of program]</w:t>
      </w:r>
      <w:r w:rsidR="00AC565C" w:rsidRPr="00640D01">
        <w:rPr>
          <w:color w:val="7030A0"/>
        </w:rPr>
        <w:t>.</w:t>
      </w:r>
    </w:p>
    <w:p w14:paraId="2BF8DF8A" w14:textId="6DD9CC7C" w:rsidR="0011731C" w:rsidRPr="00640D01" w:rsidRDefault="00017A79" w:rsidP="0011731C">
      <w:pPr>
        <w:pStyle w:val="Heading2"/>
      </w:pPr>
      <w:bookmarkStart w:id="48" w:name="_Toc190242695"/>
      <w:r w:rsidRPr="00640D01">
        <w:t>Regionally Significant Travel Projects/Programs</w:t>
      </w:r>
      <w:bookmarkEnd w:id="48"/>
    </w:p>
    <w:p w14:paraId="264FE646" w14:textId="329B2A32" w:rsidR="00AF3C4B" w:rsidRPr="00640D01" w:rsidRDefault="00AF3C4B" w:rsidP="00CC4D69">
      <w:pPr>
        <w:pStyle w:val="BodyText"/>
      </w:pPr>
      <w:r w:rsidRPr="00640D01">
        <w:t xml:space="preserve">Per </w:t>
      </w:r>
      <w:hyperlink r:id="rId28" w:history="1">
        <w:r w:rsidRPr="00640D01">
          <w:rPr>
            <w:rStyle w:val="Hyperlink"/>
          </w:rPr>
          <w:t>40 CFR 93.101</w:t>
        </w:r>
      </w:hyperlink>
      <w:r w:rsidRPr="00640D01">
        <w:t xml:space="preserve">, regionally significant projects are </w:t>
      </w:r>
      <w:r w:rsidR="002E1F00" w:rsidRPr="00640D01">
        <w:t>transportation project</w:t>
      </w:r>
      <w:r w:rsidR="00AE345F" w:rsidRPr="00640D01">
        <w:t>s</w:t>
      </w:r>
      <w:r w:rsidR="002E1F00" w:rsidRPr="00640D01">
        <w:t xml:space="preserve"> (other than an exempt project) that </w:t>
      </w:r>
      <w:r w:rsidR="00AE345F" w:rsidRPr="00640D01">
        <w:t>are</w:t>
      </w:r>
      <w:r w:rsidR="002E1F00" w:rsidRPr="00640D01">
        <w:t xml:space="preserve"> on a facility </w:t>
      </w:r>
      <w:r w:rsidR="00684C90" w:rsidRPr="00640D01">
        <w:t>that</w:t>
      </w:r>
      <w:r w:rsidR="002E1F00" w:rsidRPr="00640D01">
        <w:t xml:space="preserve"> serves regional transportation needs (</w:t>
      </w:r>
      <w:r w:rsidR="00AC565C" w:rsidRPr="00640D01">
        <w:t>e.g.,</w:t>
      </w:r>
      <w:r w:rsidR="002E1F00" w:rsidRPr="00640D01">
        <w:t xml:space="preserve"> access to and from the area outside of the region</w:t>
      </w:r>
      <w:r w:rsidR="000D281E" w:rsidRPr="00640D01">
        <w:t xml:space="preserve">; </w:t>
      </w:r>
      <w:r w:rsidR="002E1F00" w:rsidRPr="00640D01">
        <w:t>major activity centers in the region</w:t>
      </w:r>
      <w:r w:rsidR="000D281E" w:rsidRPr="00640D01">
        <w:t xml:space="preserve">; </w:t>
      </w:r>
      <w:r w:rsidR="002E1F00" w:rsidRPr="00640D01">
        <w:t>major planned developments such as new retail malls, sports complexes, etc</w:t>
      </w:r>
      <w:r w:rsidR="000D281E" w:rsidRPr="00640D01">
        <w:t xml:space="preserve">.; </w:t>
      </w:r>
      <w:r w:rsidR="002E1F00" w:rsidRPr="00640D01">
        <w:t xml:space="preserve">or transportation terminals </w:t>
      </w:r>
      <w:r w:rsidR="00AC565C" w:rsidRPr="00640D01">
        <w:t xml:space="preserve">and </w:t>
      </w:r>
      <w:r w:rsidR="002E1F00" w:rsidRPr="00640D01">
        <w:t>most terminals themselves)</w:t>
      </w:r>
      <w:r w:rsidR="00AC565C" w:rsidRPr="00640D01">
        <w:t xml:space="preserve">. Regionally significant projects </w:t>
      </w:r>
      <w:r w:rsidR="002E1F00" w:rsidRPr="00640D01">
        <w:t>would normally be included in the modeling of a metropolitan area’s transportation network, including at a minimum all principal arterial highways and all fixed guideway transit facilities that offer an alternative to regional highway travel.</w:t>
      </w:r>
    </w:p>
    <w:p w14:paraId="70BCE239" w14:textId="1954AC7F" w:rsidR="000C2A78" w:rsidRPr="00640D01" w:rsidRDefault="005B27AA" w:rsidP="00176A31">
      <w:pPr>
        <w:pStyle w:val="BodyText"/>
        <w:keepNext/>
      </w:pPr>
      <w:r w:rsidRPr="00640D01">
        <w:t xml:space="preserve">Regionally </w:t>
      </w:r>
      <w:r w:rsidR="00AC565C" w:rsidRPr="00640D01">
        <w:t xml:space="preserve">significant roadways </w:t>
      </w:r>
      <w:r w:rsidRPr="00640D01">
        <w:t>include:</w:t>
      </w:r>
    </w:p>
    <w:p w14:paraId="32805CA2" w14:textId="64FA4597" w:rsidR="002E1F00" w:rsidRPr="00640D01" w:rsidRDefault="00FE4817" w:rsidP="00CC4D69">
      <w:pPr>
        <w:pStyle w:val="ListBullet"/>
        <w:rPr>
          <w:b/>
          <w:bCs/>
          <w:color w:val="7030A0"/>
        </w:rPr>
      </w:pPr>
      <w:r w:rsidRPr="00640D01">
        <w:rPr>
          <w:b/>
          <w:bCs/>
          <w:color w:val="7030A0"/>
        </w:rPr>
        <w:t>Insert the MPO’s regionally significant roadways definition</w:t>
      </w:r>
      <w:r w:rsidR="00F43840" w:rsidRPr="00640D01">
        <w:rPr>
          <w:b/>
          <w:bCs/>
          <w:color w:val="7030A0"/>
        </w:rPr>
        <w:t>.</w:t>
      </w:r>
    </w:p>
    <w:p w14:paraId="500AB650" w14:textId="4829D06C" w:rsidR="00FE4817" w:rsidRPr="00640D01" w:rsidRDefault="00AC565C" w:rsidP="00CC4D69">
      <w:pPr>
        <w:pStyle w:val="BodyText"/>
      </w:pPr>
      <w:r w:rsidRPr="00640D01">
        <w:lastRenderedPageBreak/>
        <w:fldChar w:fldCharType="begin"/>
      </w:r>
      <w:r w:rsidRPr="00640D01">
        <w:instrText xml:space="preserve"> REF _Ref152251988 \h </w:instrText>
      </w:r>
      <w:r w:rsidRPr="00640D01">
        <w:fldChar w:fldCharType="separate"/>
      </w:r>
      <w:r w:rsidR="00514311" w:rsidRPr="00640D01">
        <w:t xml:space="preserve">Figure </w:t>
      </w:r>
      <w:r w:rsidR="00514311">
        <w:rPr>
          <w:noProof/>
        </w:rPr>
        <w:t>3</w:t>
      </w:r>
      <w:r w:rsidR="00514311">
        <w:noBreakHyphen/>
      </w:r>
      <w:r w:rsidR="00514311">
        <w:rPr>
          <w:noProof/>
        </w:rPr>
        <w:t>1</w:t>
      </w:r>
      <w:r w:rsidRPr="00640D01">
        <w:fldChar w:fldCharType="end"/>
      </w:r>
      <w:r w:rsidRPr="00640D01">
        <w:t xml:space="preserve"> shows r</w:t>
      </w:r>
      <w:r w:rsidR="00302E82" w:rsidRPr="00640D01">
        <w:t>oadway systems that meet the definition of regionally significant</w:t>
      </w:r>
      <w:r w:rsidR="00434F44" w:rsidRPr="00640D01">
        <w:t>. These roads are subjected to transportation and project-level determinations.</w:t>
      </w:r>
    </w:p>
    <w:p w14:paraId="0627B2C1" w14:textId="0AE766F5" w:rsidR="00925221" w:rsidRPr="00640D01" w:rsidRDefault="00CE3D4F" w:rsidP="00CC4D69">
      <w:pPr>
        <w:pStyle w:val="Figure"/>
      </w:pPr>
      <w:r w:rsidRPr="00640D01">
        <w:rPr>
          <w:noProof/>
        </w:rPr>
        <mc:AlternateContent>
          <mc:Choice Requires="wps">
            <w:drawing>
              <wp:anchor distT="0" distB="0" distL="114300" distR="114300" simplePos="0" relativeHeight="251667456" behindDoc="0" locked="0" layoutInCell="1" allowOverlap="1" wp14:anchorId="6A658032" wp14:editId="44D6B922">
                <wp:simplePos x="0" y="0"/>
                <wp:positionH relativeFrom="column">
                  <wp:posOffset>1679788</wp:posOffset>
                </wp:positionH>
                <wp:positionV relativeFrom="paragraph">
                  <wp:posOffset>622939</wp:posOffset>
                </wp:positionV>
                <wp:extent cx="3100716" cy="955813"/>
                <wp:effectExtent l="0" t="723900" r="0" b="720725"/>
                <wp:wrapNone/>
                <wp:docPr id="839501822" name="Text Box 1"/>
                <wp:cNvGraphicFramePr/>
                <a:graphic xmlns:a="http://schemas.openxmlformats.org/drawingml/2006/main">
                  <a:graphicData uri="http://schemas.microsoft.com/office/word/2010/wordprocessingShape">
                    <wps:wsp>
                      <wps:cNvSpPr txBox="1"/>
                      <wps:spPr>
                        <a:xfrm rot="19617218">
                          <a:off x="0" y="0"/>
                          <a:ext cx="3100716" cy="955813"/>
                        </a:xfrm>
                        <a:prstGeom prst="rect">
                          <a:avLst/>
                        </a:prstGeom>
                        <a:noFill/>
                        <a:ln w="6350">
                          <a:noFill/>
                        </a:ln>
                      </wps:spPr>
                      <wps:txbx>
                        <w:txbxContent>
                          <w:p w14:paraId="155DF2E4" w14:textId="4B0E87C8" w:rsidR="00CE3D4F" w:rsidRPr="00AE13BD" w:rsidRDefault="00CE3D4F">
                            <w:pPr>
                              <w:rPr>
                                <w:color w:val="C00000"/>
                                <w:sz w:val="96"/>
                                <w:szCs w:val="96"/>
                              </w:rPr>
                            </w:pPr>
                            <w:r w:rsidRPr="00AE13BD">
                              <w:rPr>
                                <w:color w:val="C00000"/>
                                <w:sz w:val="96"/>
                                <w:szCs w:val="96"/>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58032" id="_x0000_s1027" type="#_x0000_t202" style="position:absolute;left:0;text-align:left;margin-left:132.25pt;margin-top:49.05pt;width:244.15pt;height:75.25pt;rotation:-216572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" filled="f" stroked="f" strokeweight=".5pt">
                <v:textbox>
                  <w:txbxContent>
                    <w:p w14:paraId="155DF2E4" w14:textId="4B0E87C8" w:rsidR="00CE3D4F" w:rsidRPr="00AE13BD" w:rsidRDefault="00CE3D4F">
                      <w:pPr>
                        <w:rPr>
                          <w:color w:val="C00000"/>
                          <w:sz w:val="96"/>
                          <w:szCs w:val="96"/>
                        </w:rPr>
                      </w:pPr>
                      <w:r w:rsidRPr="00AE13BD">
                        <w:rPr>
                          <w:color w:val="C00000"/>
                          <w:sz w:val="96"/>
                          <w:szCs w:val="96"/>
                        </w:rPr>
                        <w:t>SAMPLE</w:t>
                      </w:r>
                    </w:p>
                  </w:txbxContent>
                </v:textbox>
              </v:shape>
            </w:pict>
          </mc:Fallback>
        </mc:AlternateContent>
      </w:r>
      <w:r w:rsidR="00FD7376" w:rsidRPr="00640D01">
        <w:rPr>
          <w:noProof/>
        </w:rPr>
        <w:drawing>
          <wp:inline distT="0" distB="0" distL="0" distR="0" wp14:anchorId="672905DE" wp14:editId="7890CBDB">
            <wp:extent cx="5943600" cy="4578021"/>
            <wp:effectExtent l="0" t="0" r="0" b="0"/>
            <wp:docPr id="1133284387" name="Picture 1" descr="A sample of an MPO's regionally significant road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284387" name="Picture 1" descr="A sample of an MPO's regionally significant road network."/>
                    <pic:cNvPicPr/>
                  </pic:nvPicPr>
                  <pic:blipFill>
                    <a:blip r:embed="rId29"/>
                    <a:stretch>
                      <a:fillRect/>
                    </a:stretch>
                  </pic:blipFill>
                  <pic:spPr>
                    <a:xfrm>
                      <a:off x="0" y="0"/>
                      <a:ext cx="5943600" cy="4578021"/>
                    </a:xfrm>
                    <a:prstGeom prst="rect">
                      <a:avLst/>
                    </a:prstGeom>
                  </pic:spPr>
                </pic:pic>
              </a:graphicData>
            </a:graphic>
          </wp:inline>
        </w:drawing>
      </w:r>
    </w:p>
    <w:p w14:paraId="095501E0" w14:textId="74D6CCE1" w:rsidR="00FD7376" w:rsidRPr="00640D01" w:rsidRDefault="00925221" w:rsidP="00CC4D69">
      <w:pPr>
        <w:pStyle w:val="Caption"/>
      </w:pPr>
      <w:bookmarkStart w:id="49" w:name="_Ref152251988"/>
      <w:bookmarkStart w:id="50" w:name="_Toc190183136"/>
      <w:r w:rsidRPr="00640D01">
        <w:t xml:space="preserve">Figure </w:t>
      </w:r>
      <w:r w:rsidR="00514311">
        <w:fldChar w:fldCharType="begin"/>
      </w:r>
      <w:r w:rsidR="00514311">
        <w:instrText xml:space="preserve"> STYLEREF 1 \s </w:instrText>
      </w:r>
      <w:r w:rsidR="00514311">
        <w:fldChar w:fldCharType="separate"/>
      </w:r>
      <w:r w:rsidR="00514311">
        <w:rPr>
          <w:noProof/>
        </w:rPr>
        <w:t>3</w:t>
      </w:r>
      <w:r w:rsidR="00514311">
        <w:fldChar w:fldCharType="end"/>
      </w:r>
      <w:r w:rsidR="00514311">
        <w:noBreakHyphen/>
      </w:r>
      <w:r w:rsidR="00514311">
        <w:fldChar w:fldCharType="begin"/>
      </w:r>
      <w:r w:rsidR="00514311">
        <w:instrText xml:space="preserve"> SEQ Figure \* ARABIC \s 1 </w:instrText>
      </w:r>
      <w:r w:rsidR="00514311">
        <w:fldChar w:fldCharType="separate"/>
      </w:r>
      <w:r w:rsidR="00514311">
        <w:rPr>
          <w:noProof/>
        </w:rPr>
        <w:t>1</w:t>
      </w:r>
      <w:r w:rsidR="00514311">
        <w:fldChar w:fldCharType="end"/>
      </w:r>
      <w:bookmarkEnd w:id="49"/>
      <w:r w:rsidRPr="00640D01">
        <w:t xml:space="preserve">. Regionally Significant Roads in </w:t>
      </w:r>
      <w:r w:rsidR="00AC565C" w:rsidRPr="00640D01">
        <w:t xml:space="preserve">the </w:t>
      </w:r>
      <w:r w:rsidRPr="00640D01">
        <w:t xml:space="preserve">MPO </w:t>
      </w:r>
      <w:r w:rsidR="00F43840" w:rsidRPr="00640D01">
        <w:t>MPA</w:t>
      </w:r>
      <w:bookmarkEnd w:id="50"/>
    </w:p>
    <w:p w14:paraId="6A885328" w14:textId="2E32129C" w:rsidR="00017A79" w:rsidRPr="00640D01" w:rsidRDefault="00017A79" w:rsidP="0011731C">
      <w:pPr>
        <w:pStyle w:val="Heading2"/>
      </w:pPr>
      <w:bookmarkStart w:id="51" w:name="_Toc190242696"/>
      <w:r w:rsidRPr="00640D01">
        <w:t>Other Projects/Programs</w:t>
      </w:r>
      <w:bookmarkEnd w:id="51"/>
    </w:p>
    <w:p w14:paraId="6085ED04" w14:textId="2B29EA0D" w:rsidR="00322965" w:rsidRPr="00640D01" w:rsidRDefault="00322965" w:rsidP="00322965">
      <w:pPr>
        <w:pStyle w:val="Heading3"/>
      </w:pPr>
      <w:bookmarkStart w:id="52" w:name="_Toc190242697"/>
      <w:r w:rsidRPr="00640D01">
        <w:t>Non-</w:t>
      </w:r>
      <w:r w:rsidR="008753A7" w:rsidRPr="00640D01">
        <w:t xml:space="preserve">federal </w:t>
      </w:r>
      <w:r w:rsidRPr="00640D01">
        <w:t>Projects/Programs</w:t>
      </w:r>
      <w:bookmarkEnd w:id="52"/>
    </w:p>
    <w:p w14:paraId="14ED1C06" w14:textId="6E919B20" w:rsidR="00322965" w:rsidRPr="00640D01" w:rsidRDefault="00F0648A" w:rsidP="00CC4D69">
      <w:pPr>
        <w:pStyle w:val="BodyText"/>
      </w:pPr>
      <w:r w:rsidRPr="00640D01">
        <w:t xml:space="preserve">Non-federal projects funded by sources such as local governments and local transportation authorities, such as signal improvements, intersection improvements, and local roadway widening, may be of insufficient scale or scope to require inclusion within a transportation conformity regional emissions analysis. These non-regionally significant projects that do not require any federal project approval actions (e.g., environmental clearance or permit approvals) are not individually listed within the </w:t>
      </w:r>
      <w:r w:rsidR="007D7815" w:rsidRPr="00640D01">
        <w:t xml:space="preserve">transportation plan </w:t>
      </w:r>
      <w:r w:rsidRPr="00640D01">
        <w:t>and/or TIP.</w:t>
      </w:r>
    </w:p>
    <w:p w14:paraId="7CB03045" w14:textId="06449B21" w:rsidR="00154286" w:rsidRPr="00640D01" w:rsidRDefault="00154286" w:rsidP="00154286">
      <w:pPr>
        <w:pStyle w:val="Heading3"/>
      </w:pPr>
      <w:bookmarkStart w:id="53" w:name="_Toc190242698"/>
      <w:r w:rsidRPr="00640D01">
        <w:t>Exempt Projects/Programs</w:t>
      </w:r>
      <w:bookmarkEnd w:id="53"/>
    </w:p>
    <w:p w14:paraId="2BE661C8" w14:textId="5427E17F" w:rsidR="002B447F" w:rsidRDefault="002B447F" w:rsidP="00CC4D69">
      <w:pPr>
        <w:pStyle w:val="BodyText"/>
      </w:pPr>
      <w:r w:rsidRPr="002B447F">
        <w:t>The regulation</w:t>
      </w:r>
      <w:r>
        <w:t xml:space="preserve"> </w:t>
      </w:r>
      <w:hyperlink r:id="rId30" w:history="1">
        <w:r w:rsidR="00833B24" w:rsidRPr="00640D01">
          <w:rPr>
            <w:rStyle w:val="Hyperlink"/>
          </w:rPr>
          <w:t>40 CFR 93.126</w:t>
        </w:r>
      </w:hyperlink>
      <w:r w:rsidR="00833B24" w:rsidRPr="00640D01">
        <w:t xml:space="preserve"> </w:t>
      </w:r>
      <w:r w:rsidRPr="002B447F">
        <w:t xml:space="preserve">identifies several project types that are exempt from the requirement of a conformity determination. When a conforming transportation plan or TIP is revised to add or remove an exempt project, a new conformity determination is not required. </w:t>
      </w:r>
      <w:r w:rsidRPr="002B447F">
        <w:lastRenderedPageBreak/>
        <w:t>Some of the exempt projects listed under</w:t>
      </w:r>
      <w:r>
        <w:t xml:space="preserve"> </w:t>
      </w:r>
      <w:hyperlink r:id="rId31" w:history="1">
        <w:r w:rsidR="00833B24" w:rsidRPr="00640D01">
          <w:rPr>
            <w:rStyle w:val="Hyperlink"/>
          </w:rPr>
          <w:t>40 CFR 93.126</w:t>
        </w:r>
      </w:hyperlink>
      <w:r w:rsidR="00833B24" w:rsidRPr="00640D01">
        <w:t xml:space="preserve"> </w:t>
      </w:r>
      <w:r w:rsidRPr="002B447F">
        <w:t>include the continuation of ridesharing and vanpooling promotion activities at current levels, bicycle and pedestrian facilities, railroad/highway crossings, fencing, shoulder improvements, the purchase of replacement transit vehicles, and road landscaping</w:t>
      </w:r>
      <w:r w:rsidR="00833B24" w:rsidRPr="00640D01">
        <w:t>.</w:t>
      </w:r>
    </w:p>
    <w:p w14:paraId="2C72EED5" w14:textId="150CA952" w:rsidR="002B447F" w:rsidRDefault="002B447F" w:rsidP="00CC4D69">
      <w:pPr>
        <w:pStyle w:val="BodyText"/>
      </w:pPr>
      <w:r>
        <w:t>Additionally,</w:t>
      </w:r>
      <w:r w:rsidR="00833B24" w:rsidRPr="00640D01">
        <w:t xml:space="preserve"> </w:t>
      </w:r>
      <w:hyperlink r:id="rId32" w:history="1">
        <w:r w:rsidR="00833B24" w:rsidRPr="00640D01">
          <w:rPr>
            <w:rStyle w:val="Hyperlink"/>
          </w:rPr>
          <w:t>40 CFR 93.127</w:t>
        </w:r>
      </w:hyperlink>
      <w:r w:rsidR="00833B24" w:rsidRPr="00640D01">
        <w:t xml:space="preserve"> </w:t>
      </w:r>
      <w:r w:rsidRPr="002B447F">
        <w:t>identifies project types that are exempt from a regional emissions analysis but may still require project-level conformity. These include intersection channelization projects, intersection signalization projects at individual intersections, interchange reconfiguration projects, changes in vertical and horizontal alignment, truck size and weight inspection stations, and bus terminals and transfer points</w:t>
      </w:r>
      <w:r w:rsidR="00833B24" w:rsidRPr="00640D01">
        <w:t>.</w:t>
      </w:r>
    </w:p>
    <w:p w14:paraId="29D6AF14" w14:textId="23682E98" w:rsidR="00B230C5" w:rsidRPr="00640D01" w:rsidRDefault="002B447F" w:rsidP="00CC4D69">
      <w:pPr>
        <w:pStyle w:val="BodyText"/>
        <w:rPr>
          <w:rFonts w:ascii="Times New Roman Bold" w:eastAsiaTheme="majorEastAsia" w:hAnsi="Times New Roman Bold" w:cstheme="majorBidi"/>
          <w:b/>
          <w:caps/>
          <w:szCs w:val="32"/>
        </w:rPr>
      </w:pPr>
      <w:r>
        <w:t>Finally,</w:t>
      </w:r>
      <w:r w:rsidR="00833B24" w:rsidRPr="00640D01">
        <w:t xml:space="preserve"> </w:t>
      </w:r>
      <w:hyperlink r:id="rId33" w:history="1">
        <w:r w:rsidR="00833B24" w:rsidRPr="00640D01">
          <w:rPr>
            <w:rStyle w:val="Hyperlink"/>
          </w:rPr>
          <w:t>40 CFR</w:t>
        </w:r>
        <w:r w:rsidR="00AC565C" w:rsidRPr="00640D01">
          <w:rPr>
            <w:rStyle w:val="Hyperlink"/>
          </w:rPr>
          <w:t xml:space="preserve"> </w:t>
        </w:r>
        <w:r w:rsidR="00833B24" w:rsidRPr="00640D01">
          <w:rPr>
            <w:rStyle w:val="Hyperlink"/>
          </w:rPr>
          <w:t>93.128</w:t>
        </w:r>
      </w:hyperlink>
      <w:r w:rsidR="00833B24" w:rsidRPr="00640D01">
        <w:t xml:space="preserve"> </w:t>
      </w:r>
      <w:r>
        <w:t>exempts</w:t>
      </w:r>
      <w:r w:rsidRPr="002B447F">
        <w:t xml:space="preserve"> traffic signal synchronization projects; however, regionally significant traffic signal synchronization projects must be included in subsequent regional emissions analyses</w:t>
      </w:r>
      <w:r w:rsidR="00833B24" w:rsidRPr="00640D01">
        <w:t>.</w:t>
      </w:r>
      <w:r w:rsidR="00B230C5" w:rsidRPr="00640D01">
        <w:br w:type="page"/>
      </w:r>
    </w:p>
    <w:p w14:paraId="794244EB" w14:textId="4E5B9101" w:rsidR="00017A79" w:rsidRPr="00640D01" w:rsidRDefault="00017A79" w:rsidP="00861F03">
      <w:pPr>
        <w:pStyle w:val="Heading1"/>
      </w:pPr>
      <w:bookmarkStart w:id="54" w:name="_Toc190242699"/>
      <w:r w:rsidRPr="00640D01">
        <w:lastRenderedPageBreak/>
        <w:t>Vehicle Activity Estimation</w:t>
      </w:r>
      <w:bookmarkEnd w:id="54"/>
    </w:p>
    <w:p w14:paraId="7DFE5B53" w14:textId="77777777" w:rsidR="00017A79" w:rsidRPr="00640D01" w:rsidRDefault="00017A79" w:rsidP="0011731C">
      <w:pPr>
        <w:pStyle w:val="Heading2"/>
      </w:pPr>
      <w:bookmarkStart w:id="55" w:name="_Toc190242700"/>
      <w:r w:rsidRPr="00640D01">
        <w:t>Overview of the Travel Model</w:t>
      </w:r>
      <w:bookmarkEnd w:id="55"/>
    </w:p>
    <w:p w14:paraId="549D9E8A" w14:textId="2C3D9929" w:rsidR="00287F5B" w:rsidRPr="00640D01" w:rsidRDefault="00B82961" w:rsidP="0038231B">
      <w:pPr>
        <w:pStyle w:val="BodyText"/>
      </w:pPr>
      <w:r w:rsidRPr="00640D01">
        <w:t xml:space="preserve">The </w:t>
      </w:r>
      <w:sdt>
        <w:sdtPr>
          <w:alias w:val="Select MPO"/>
          <w:tag w:val="Select MPO"/>
          <w:id w:val="929170679"/>
          <w:placeholder>
            <w:docPart w:val="0B239A0B503E4CB6BD0DC9CCF1475B05"/>
          </w:placeholder>
          <w:showingPlcHdr/>
          <w:dropDownList>
            <w:listItem w:value="Choose an item."/>
            <w:listItem w:displayText="AAMPO" w:value="AAMPO"/>
            <w:listItem w:displayText="El Paso MPO" w:value="El Paso MPO"/>
            <w:listItem w:displayText="H-GAC" w:value="H-GAC"/>
            <w:listItem w:displayText="NCTCOG" w:value="NCTCOG"/>
            <w:listItem w:displayText="SETRPC" w:value="SETRPC"/>
          </w:dropDownList>
        </w:sdtPr>
        <w:sdtContent>
          <w:r w:rsidRPr="00640D01">
            <w:rPr>
              <w:rStyle w:val="Style2"/>
            </w:rPr>
            <w:t>[</w:t>
          </w:r>
          <w:r w:rsidRPr="00640D01">
            <w:rPr>
              <w:b/>
              <w:bCs/>
              <w:color w:val="C00000"/>
            </w:rPr>
            <w:t>MPO Name]</w:t>
          </w:r>
        </w:sdtContent>
      </w:sdt>
      <w:r w:rsidR="004F1D44" w:rsidRPr="00640D01">
        <w:t xml:space="preserve"> </w:t>
      </w:r>
      <w:r w:rsidR="00482749" w:rsidRPr="00640D01">
        <w:t>TDM</w:t>
      </w:r>
      <w:r w:rsidR="0025451F" w:rsidRPr="00640D01">
        <w:t xml:space="preserve"> </w:t>
      </w:r>
      <w:r w:rsidR="00287F5B" w:rsidRPr="00640D01">
        <w:t xml:space="preserve">serves as the source for forecasting vehicle miles of travel (VMT) and other travel characteristics for </w:t>
      </w:r>
      <w:r w:rsidR="00045387" w:rsidRPr="00640D01">
        <w:rPr>
          <w:color w:val="7030A0"/>
        </w:rPr>
        <w:t>[counties covered by the model].</w:t>
      </w:r>
      <w:r w:rsidR="001A278B" w:rsidRPr="00640D01">
        <w:rPr>
          <w:color w:val="7030A0"/>
        </w:rPr>
        <w:t xml:space="preserve"> </w:t>
      </w:r>
      <w:r w:rsidR="00287F5B" w:rsidRPr="00640D01">
        <w:t xml:space="preserve">The </w:t>
      </w:r>
      <w:r w:rsidR="008E0D1C" w:rsidRPr="00640D01">
        <w:t>TDM</w:t>
      </w:r>
      <w:r w:rsidR="00287F5B" w:rsidRPr="00640D01">
        <w:t xml:space="preserve"> is executed in the </w:t>
      </w:r>
      <w:r w:rsidR="00A00E2B" w:rsidRPr="00640D01">
        <w:rPr>
          <w:color w:val="7030A0"/>
        </w:rPr>
        <w:t>[</w:t>
      </w:r>
      <w:r w:rsidR="00A00E2B" w:rsidRPr="00640D01">
        <w:rPr>
          <w:b/>
          <w:bCs/>
          <w:color w:val="7030A0"/>
        </w:rPr>
        <w:t>environment</w:t>
      </w:r>
      <w:r w:rsidR="001C69CD" w:rsidRPr="00640D01">
        <w:rPr>
          <w:b/>
          <w:bCs/>
          <w:color w:val="7030A0"/>
        </w:rPr>
        <w:t xml:space="preserve"> </w:t>
      </w:r>
      <w:r w:rsidR="001C69CD" w:rsidRPr="00640D01">
        <w:rPr>
          <w:color w:val="7030A0"/>
        </w:rPr>
        <w:t>(e</w:t>
      </w:r>
      <w:r w:rsidR="00A00E2B" w:rsidRPr="00640D01">
        <w:rPr>
          <w:color w:val="7030A0"/>
        </w:rPr>
        <w:t>.g., TransCAD environment</w:t>
      </w:r>
      <w:r w:rsidR="001C69CD" w:rsidRPr="00640D01">
        <w:rPr>
          <w:color w:val="7030A0"/>
        </w:rPr>
        <w:t>)</w:t>
      </w:r>
      <w:r w:rsidR="00A00E2B" w:rsidRPr="00640D01">
        <w:rPr>
          <w:color w:val="7030A0"/>
        </w:rPr>
        <w:t>]</w:t>
      </w:r>
      <w:r w:rsidR="00287F5B" w:rsidRPr="00640D01">
        <w:rPr>
          <w:color w:val="7030A0"/>
        </w:rPr>
        <w:t xml:space="preserve">. </w:t>
      </w:r>
      <w:r w:rsidR="00EC27E3" w:rsidRPr="00640D01">
        <w:t>The model</w:t>
      </w:r>
      <w:r w:rsidR="000372C7" w:rsidRPr="00640D01">
        <w:t xml:space="preserve"> base year is </w:t>
      </w:r>
      <w:r w:rsidR="00294919" w:rsidRPr="00640D01">
        <w:rPr>
          <w:color w:val="7030A0"/>
        </w:rPr>
        <w:fldChar w:fldCharType="begin"/>
      </w:r>
      <w:r w:rsidR="00294919" w:rsidRPr="00640D01">
        <w:instrText xml:space="preserve"> REF BaseYear \h </w:instrText>
      </w:r>
      <w:r w:rsidR="00294919" w:rsidRPr="00640D01">
        <w:rPr>
          <w:color w:val="7030A0"/>
        </w:rPr>
      </w:r>
      <w:r w:rsidR="00294919" w:rsidRPr="00640D01">
        <w:rPr>
          <w:color w:val="7030A0"/>
        </w:rPr>
        <w:fldChar w:fldCharType="separate"/>
      </w:r>
      <w:r w:rsidR="00514311" w:rsidRPr="00640D01">
        <w:rPr>
          <w:b/>
          <w:bCs/>
          <w:color w:val="C00000"/>
        </w:rPr>
        <w:t xml:space="preserve">[Base Year] </w:t>
      </w:r>
      <w:r w:rsidR="00294919" w:rsidRPr="00640D01">
        <w:rPr>
          <w:color w:val="7030A0"/>
        </w:rPr>
        <w:fldChar w:fldCharType="end"/>
      </w:r>
      <w:r w:rsidR="001C69CD" w:rsidRPr="00640D01">
        <w:t>, a</w:t>
      </w:r>
      <w:r w:rsidR="00726AE2" w:rsidRPr="00640D01">
        <w:t xml:space="preserve">nd the forecasted years are </w:t>
      </w:r>
      <w:r w:rsidR="00726AE2" w:rsidRPr="00640D01">
        <w:rPr>
          <w:color w:val="7030A0"/>
        </w:rPr>
        <w:t>[</w:t>
      </w:r>
      <w:r w:rsidR="00726AE2" w:rsidRPr="00640D01">
        <w:rPr>
          <w:b/>
          <w:bCs/>
          <w:color w:val="7030A0"/>
        </w:rPr>
        <w:t>forecasted years</w:t>
      </w:r>
      <w:r w:rsidR="00726AE2" w:rsidRPr="00640D01">
        <w:rPr>
          <w:color w:val="7030A0"/>
        </w:rPr>
        <w:t>]</w:t>
      </w:r>
      <w:r w:rsidR="000372C7" w:rsidRPr="00640D01">
        <w:rPr>
          <w:color w:val="7030A0"/>
        </w:rPr>
        <w:t>.</w:t>
      </w:r>
      <w:r w:rsidR="006873DA" w:rsidRPr="00640D01">
        <w:rPr>
          <w:color w:val="7030A0"/>
        </w:rPr>
        <w:t xml:space="preserve"> </w:t>
      </w:r>
      <w:r w:rsidR="003270EF" w:rsidRPr="00640D01">
        <w:t>The trip characteristics forecasted include the number of trips, trip origins</w:t>
      </w:r>
      <w:r w:rsidR="001C69CD" w:rsidRPr="00640D01">
        <w:t>-</w:t>
      </w:r>
      <w:r w:rsidR="003270EF" w:rsidRPr="00640D01">
        <w:t>destinations (OD</w:t>
      </w:r>
      <w:r w:rsidR="001C69CD" w:rsidRPr="00640D01">
        <w:t>s</w:t>
      </w:r>
      <w:r w:rsidR="003270EF" w:rsidRPr="00640D01">
        <w:t>), and travel mode. The model assigns all vehicle trips to the roadway network and produces VMT at the link</w:t>
      </w:r>
      <w:r w:rsidR="001C69CD" w:rsidRPr="00640D01">
        <w:t xml:space="preserve"> </w:t>
      </w:r>
      <w:r w:rsidR="003270EF" w:rsidRPr="00640D01">
        <w:t>level. The assigned roadway network with forecasted VMT is then processed by the emissions model for mobile emission analysis.</w:t>
      </w:r>
    </w:p>
    <w:p w14:paraId="4B14872C" w14:textId="77777777" w:rsidR="0011731C" w:rsidRPr="00640D01" w:rsidRDefault="00017A79" w:rsidP="0011731C">
      <w:pPr>
        <w:pStyle w:val="Heading2"/>
      </w:pPr>
      <w:bookmarkStart w:id="56" w:name="_Toc190242701"/>
      <w:r w:rsidRPr="00640D01">
        <w:t>Transportation Modeling Process</w:t>
      </w:r>
      <w:bookmarkEnd w:id="56"/>
      <w:r w:rsidRPr="00640D01">
        <w:t xml:space="preserve"> </w:t>
      </w:r>
    </w:p>
    <w:p w14:paraId="77B0302D" w14:textId="06230A50" w:rsidR="00C30AA3" w:rsidRPr="00640D01" w:rsidRDefault="000A1B02" w:rsidP="0038231B">
      <w:pPr>
        <w:pStyle w:val="BodyText"/>
      </w:pPr>
      <w:r w:rsidRPr="00640D01">
        <w:t>The forecasting technique is based on a four-step sequential process designed to model travel behavior and predict the level of travel demand at regional, sub-area, or small</w:t>
      </w:r>
      <w:r w:rsidR="00684C90" w:rsidRPr="00640D01">
        <w:t>-</w:t>
      </w:r>
      <w:r w:rsidRPr="00640D01">
        <w:t xml:space="preserve">area levels. These four steps are </w:t>
      </w:r>
      <w:r w:rsidR="001C69CD" w:rsidRPr="00640D01">
        <w:t>trip generation, trip distribution, mode choice, and roadway assignment</w:t>
      </w:r>
      <w:r w:rsidR="00DB4FC1" w:rsidRPr="00640D01">
        <w:t xml:space="preserve">. </w:t>
      </w:r>
    </w:p>
    <w:p w14:paraId="60E76949" w14:textId="0606B881" w:rsidR="00A92279" w:rsidRPr="00640D01" w:rsidRDefault="00017A79" w:rsidP="00A92279">
      <w:pPr>
        <w:pStyle w:val="Heading3"/>
      </w:pPr>
      <w:bookmarkStart w:id="57" w:name="_Toc190242702"/>
      <w:r w:rsidRPr="00640D01">
        <w:t>Trip Generation Model</w:t>
      </w:r>
      <w:bookmarkEnd w:id="57"/>
      <w:r w:rsidRPr="00640D01">
        <w:t xml:space="preserve"> </w:t>
      </w:r>
    </w:p>
    <w:p w14:paraId="0E4C5497" w14:textId="771E4E77" w:rsidR="008759F4" w:rsidRPr="00640D01" w:rsidRDefault="008A5964" w:rsidP="0038231B">
      <w:pPr>
        <w:pStyle w:val="BodyText"/>
      </w:pPr>
      <w:r w:rsidRPr="00640D01">
        <w:t xml:space="preserve">The basic geographic unit for the travel demand modes is the traffic analysis zone (TAZ). </w:t>
      </w:r>
      <w:r w:rsidR="00E4551D" w:rsidRPr="00640D01">
        <w:t xml:space="preserve">Trip generation was performed using </w:t>
      </w:r>
      <w:r w:rsidR="001C69CD" w:rsidRPr="00640D01">
        <w:t xml:space="preserve">the </w:t>
      </w:r>
      <w:r w:rsidR="00E4551D" w:rsidRPr="00640D01">
        <w:rPr>
          <w:color w:val="7030A0"/>
        </w:rPr>
        <w:t>[</w:t>
      </w:r>
      <w:r w:rsidR="001F44B0" w:rsidRPr="00640D01">
        <w:rPr>
          <w:b/>
          <w:bCs/>
          <w:color w:val="7030A0"/>
        </w:rPr>
        <w:t>trip generation model</w:t>
      </w:r>
      <w:r w:rsidR="00E4551D" w:rsidRPr="00640D01">
        <w:rPr>
          <w:color w:val="7030A0"/>
        </w:rPr>
        <w:t xml:space="preserve">]. </w:t>
      </w:r>
      <w:r w:rsidR="00F71006" w:rsidRPr="00640D01">
        <w:t xml:space="preserve">The travel model covers </w:t>
      </w:r>
      <w:r w:rsidR="008759F4" w:rsidRPr="00176A31">
        <w:rPr>
          <w:color w:val="7030A0"/>
        </w:rPr>
        <w:t>[</w:t>
      </w:r>
      <w:r w:rsidR="008759F4" w:rsidRPr="00640D01">
        <w:rPr>
          <w:b/>
          <w:bCs/>
          <w:color w:val="7030A0"/>
        </w:rPr>
        <w:t xml:space="preserve">study area </w:t>
      </w:r>
      <w:r w:rsidR="008759F4" w:rsidRPr="00176A31">
        <w:rPr>
          <w:color w:val="7030A0"/>
        </w:rPr>
        <w:t>(sq</w:t>
      </w:r>
      <w:r w:rsidR="001C69CD" w:rsidRPr="00176A31">
        <w:rPr>
          <w:color w:val="7030A0"/>
        </w:rPr>
        <w:t xml:space="preserve"> </w:t>
      </w:r>
      <w:r w:rsidR="008759F4" w:rsidRPr="00176A31">
        <w:rPr>
          <w:color w:val="7030A0"/>
        </w:rPr>
        <w:t>mi)]</w:t>
      </w:r>
      <w:r w:rsidR="00F71006" w:rsidRPr="00640D01">
        <w:rPr>
          <w:color w:val="7030A0"/>
        </w:rPr>
        <w:t xml:space="preserve"> </w:t>
      </w:r>
      <w:r w:rsidR="00F71006" w:rsidRPr="00640D01">
        <w:t>square</w:t>
      </w:r>
      <w:r w:rsidR="001C69CD" w:rsidRPr="00640D01">
        <w:t xml:space="preserve"> </w:t>
      </w:r>
      <w:r w:rsidR="00F71006" w:rsidRPr="00640D01">
        <w:t>miles</w:t>
      </w:r>
      <w:r w:rsidR="001C69CD" w:rsidRPr="00640D01">
        <w:t xml:space="preserve"> and </w:t>
      </w:r>
      <w:r w:rsidR="001C69CD" w:rsidRPr="00640D01">
        <w:rPr>
          <w:color w:val="7030A0"/>
        </w:rPr>
        <w:t>[</w:t>
      </w:r>
      <w:r w:rsidR="001C69CD" w:rsidRPr="00176A31">
        <w:rPr>
          <w:b/>
          <w:bCs/>
          <w:color w:val="7030A0"/>
        </w:rPr>
        <w:t xml:space="preserve">number </w:t>
      </w:r>
      <w:r w:rsidR="008759F4" w:rsidRPr="00176A31">
        <w:rPr>
          <w:b/>
          <w:bCs/>
          <w:color w:val="7030A0"/>
        </w:rPr>
        <w:t>of counties</w:t>
      </w:r>
      <w:r w:rsidR="008759F4" w:rsidRPr="00640D01">
        <w:rPr>
          <w:color w:val="7030A0"/>
        </w:rPr>
        <w:t>]</w:t>
      </w:r>
      <w:r w:rsidR="00F71006" w:rsidRPr="00640D01">
        <w:rPr>
          <w:color w:val="7030A0"/>
        </w:rPr>
        <w:t xml:space="preserve"> </w:t>
      </w:r>
      <w:r w:rsidR="00F71006" w:rsidRPr="00640D01">
        <w:t xml:space="preserve">counties (including </w:t>
      </w:r>
      <w:r w:rsidR="008759F4" w:rsidRPr="00640D01">
        <w:rPr>
          <w:b/>
          <w:bCs/>
          <w:color w:val="7030A0"/>
        </w:rPr>
        <w:t>[counties included]</w:t>
      </w:r>
      <w:r w:rsidR="00F71006" w:rsidRPr="00640D01">
        <w:t>),</w:t>
      </w:r>
      <w:r w:rsidR="008759F4" w:rsidRPr="00640D01">
        <w:t xml:space="preserve"> and</w:t>
      </w:r>
      <w:r w:rsidR="00F71006" w:rsidRPr="00640D01">
        <w:t xml:space="preserve"> </w:t>
      </w:r>
      <w:r w:rsidR="00BA74FD" w:rsidRPr="00640D01">
        <w:t xml:space="preserve">contains </w:t>
      </w:r>
      <w:r w:rsidR="00BA74FD" w:rsidRPr="00640D01">
        <w:rPr>
          <w:color w:val="7030A0"/>
        </w:rPr>
        <w:t>[</w:t>
      </w:r>
      <w:r w:rsidR="00BA74FD" w:rsidRPr="00640D01">
        <w:rPr>
          <w:b/>
          <w:bCs/>
          <w:color w:val="7030A0"/>
        </w:rPr>
        <w:t>number of TAZ</w:t>
      </w:r>
      <w:r w:rsidR="001F44B0" w:rsidRPr="00640D01">
        <w:rPr>
          <w:b/>
          <w:bCs/>
          <w:color w:val="7030A0"/>
        </w:rPr>
        <w:t>s</w:t>
      </w:r>
      <w:r w:rsidR="00BA74FD" w:rsidRPr="00640D01">
        <w:rPr>
          <w:color w:val="7030A0"/>
        </w:rPr>
        <w:t xml:space="preserve">] </w:t>
      </w:r>
      <w:r w:rsidR="00BA74FD" w:rsidRPr="00640D01">
        <w:t>TA</w:t>
      </w:r>
      <w:r w:rsidR="00BF06E5" w:rsidRPr="00640D01">
        <w:t xml:space="preserve">Zs, of which </w:t>
      </w:r>
      <w:r w:rsidR="00BF06E5" w:rsidRPr="00176A31">
        <w:rPr>
          <w:color w:val="7030A0"/>
        </w:rPr>
        <w:t>[</w:t>
      </w:r>
      <w:r w:rsidR="00BF06E5" w:rsidRPr="00640D01">
        <w:rPr>
          <w:b/>
          <w:bCs/>
          <w:color w:val="7030A0"/>
        </w:rPr>
        <w:t>number of internal zones</w:t>
      </w:r>
      <w:r w:rsidR="00BF06E5" w:rsidRPr="00176A31">
        <w:rPr>
          <w:color w:val="7030A0"/>
        </w:rPr>
        <w:t>]</w:t>
      </w:r>
      <w:r w:rsidR="00BF06E5" w:rsidRPr="00640D01">
        <w:rPr>
          <w:color w:val="7030A0"/>
        </w:rPr>
        <w:t xml:space="preserve"> </w:t>
      </w:r>
      <w:r w:rsidR="00BF06E5" w:rsidRPr="00640D01">
        <w:t xml:space="preserve">are internal zones and </w:t>
      </w:r>
      <w:r w:rsidR="00BF06E5" w:rsidRPr="00640D01">
        <w:rPr>
          <w:color w:val="7030A0"/>
        </w:rPr>
        <w:t>[</w:t>
      </w:r>
      <w:r w:rsidR="00BF06E5" w:rsidRPr="00640D01">
        <w:rPr>
          <w:b/>
          <w:bCs/>
          <w:color w:val="7030A0"/>
        </w:rPr>
        <w:t>number of external zones or stations</w:t>
      </w:r>
      <w:r w:rsidR="00BF06E5" w:rsidRPr="00640D01">
        <w:rPr>
          <w:color w:val="7030A0"/>
        </w:rPr>
        <w:t>]</w:t>
      </w:r>
      <w:r w:rsidR="00BF06E5" w:rsidRPr="00640D01">
        <w:t xml:space="preserve"> are external zones or stations.</w:t>
      </w:r>
      <w:r w:rsidR="00A65F2A" w:rsidRPr="00640D01">
        <w:t xml:space="preserve"> </w:t>
      </w:r>
    </w:p>
    <w:p w14:paraId="79F9748A" w14:textId="5BCAC575" w:rsidR="006F2E7C" w:rsidRPr="00640D01" w:rsidRDefault="00AD412F" w:rsidP="0038231B">
      <w:pPr>
        <w:pStyle w:val="BodyText"/>
      </w:pPr>
      <w:r w:rsidRPr="00640D01">
        <w:t xml:space="preserve">For this conformity analysis, the defined base year for the forecast is </w:t>
      </w:r>
      <w:r w:rsidR="00FB1B0E" w:rsidRPr="00640D01">
        <w:rPr>
          <w:b/>
          <w:bCs/>
          <w:color w:val="7030A0"/>
        </w:rPr>
        <w:fldChar w:fldCharType="begin"/>
      </w:r>
      <w:r w:rsidR="00FB1B0E" w:rsidRPr="00640D01">
        <w:instrText xml:space="preserve"> REF BaseYear \h </w:instrText>
      </w:r>
      <w:r w:rsidR="00FB1B0E" w:rsidRPr="00640D01">
        <w:rPr>
          <w:b/>
          <w:bCs/>
          <w:color w:val="7030A0"/>
        </w:rPr>
      </w:r>
      <w:r w:rsidR="00FB1B0E" w:rsidRPr="00640D01">
        <w:rPr>
          <w:b/>
          <w:bCs/>
          <w:color w:val="7030A0"/>
        </w:rPr>
        <w:fldChar w:fldCharType="separate"/>
      </w:r>
      <w:r w:rsidR="00514311" w:rsidRPr="00640D01">
        <w:rPr>
          <w:b/>
          <w:bCs/>
          <w:color w:val="C00000"/>
        </w:rPr>
        <w:t xml:space="preserve">[Base Year] </w:t>
      </w:r>
      <w:r w:rsidR="00FB1B0E" w:rsidRPr="00640D01">
        <w:rPr>
          <w:b/>
          <w:bCs/>
          <w:color w:val="7030A0"/>
        </w:rPr>
        <w:fldChar w:fldCharType="end"/>
      </w:r>
      <w:r w:rsidRPr="00640D01">
        <w:t xml:space="preserve">. </w:t>
      </w:r>
      <w:r w:rsidR="006F2E7C" w:rsidRPr="00640D01">
        <w:t xml:space="preserve">The demographic estimates and forecasts were developed </w:t>
      </w:r>
      <w:r w:rsidR="00C84380" w:rsidRPr="00640D01">
        <w:t>by</w:t>
      </w:r>
      <w:r w:rsidR="006F2E7C" w:rsidRPr="00640D01">
        <w:t xml:space="preserve"> </w:t>
      </w:r>
      <w:r w:rsidR="006F2E7C" w:rsidRPr="00640D01">
        <w:rPr>
          <w:color w:val="7030A0"/>
        </w:rPr>
        <w:t>[</w:t>
      </w:r>
      <w:r w:rsidR="002910D1" w:rsidRPr="00640D01">
        <w:rPr>
          <w:b/>
          <w:bCs/>
          <w:color w:val="7030A0"/>
        </w:rPr>
        <w:t>how the demographic estimates and forecasts were estimated</w:t>
      </w:r>
      <w:r w:rsidR="00F6395C" w:rsidRPr="00640D01">
        <w:rPr>
          <w:color w:val="7030A0"/>
        </w:rPr>
        <w:t>; i</w:t>
      </w:r>
      <w:r w:rsidR="00C84380" w:rsidRPr="00640D01">
        <w:rPr>
          <w:color w:val="7030A0"/>
        </w:rPr>
        <w:t>ncludes data source and year].</w:t>
      </w:r>
    </w:p>
    <w:p w14:paraId="626F7831" w14:textId="2E87383C" w:rsidR="00A92279" w:rsidRPr="00640D01" w:rsidRDefault="00017A79" w:rsidP="00A92279">
      <w:pPr>
        <w:pStyle w:val="Heading3"/>
      </w:pPr>
      <w:bookmarkStart w:id="58" w:name="_Toc190242703"/>
      <w:r w:rsidRPr="00640D01">
        <w:t>Trip Distribution Model</w:t>
      </w:r>
      <w:bookmarkEnd w:id="58"/>
    </w:p>
    <w:p w14:paraId="2E88BFE2" w14:textId="3B768250" w:rsidR="00823D1E" w:rsidRPr="00640D01" w:rsidRDefault="00E32321" w:rsidP="0038231B">
      <w:pPr>
        <w:pStyle w:val="BodyText"/>
      </w:pPr>
      <w:r w:rsidRPr="00640D01">
        <w:t xml:space="preserve">The </w:t>
      </w:r>
      <w:r w:rsidR="002B447F">
        <w:t>t</w:t>
      </w:r>
      <w:r w:rsidR="00DE1057" w:rsidRPr="00640D01">
        <w:t xml:space="preserve">rip </w:t>
      </w:r>
      <w:r w:rsidR="002B447F">
        <w:t>d</w:t>
      </w:r>
      <w:r w:rsidR="00DE1057" w:rsidRPr="00640D01">
        <w:t xml:space="preserve">istribution </w:t>
      </w:r>
      <w:r w:rsidR="002B447F">
        <w:t>m</w:t>
      </w:r>
      <w:r w:rsidR="00DE1057" w:rsidRPr="00640D01">
        <w:t xml:space="preserve">odel </w:t>
      </w:r>
      <w:r w:rsidR="00042C82" w:rsidRPr="00640D01">
        <w:t xml:space="preserve">determines the interaction between each zone within the study area. </w:t>
      </w:r>
      <w:r w:rsidR="00F6395C" w:rsidRPr="00640D01">
        <w:t xml:space="preserve">The model </w:t>
      </w:r>
      <w:r w:rsidRPr="00640D01">
        <w:t xml:space="preserve">connects trip ends estimated in the </w:t>
      </w:r>
      <w:r w:rsidR="002B447F">
        <w:t>t</w:t>
      </w:r>
      <w:r w:rsidR="00F6395C" w:rsidRPr="00640D01">
        <w:t xml:space="preserve">rip </w:t>
      </w:r>
      <w:r w:rsidR="002B447F">
        <w:t>g</w:t>
      </w:r>
      <w:r w:rsidR="00F6395C" w:rsidRPr="00640D01">
        <w:t xml:space="preserve">eneration </w:t>
      </w:r>
      <w:r w:rsidR="002B447F">
        <w:t>m</w:t>
      </w:r>
      <w:r w:rsidR="00F6395C" w:rsidRPr="00640D01">
        <w:t>odel</w:t>
      </w:r>
      <w:r w:rsidRPr="00640D01">
        <w:t xml:space="preserve">, creating OD TAZ </w:t>
      </w:r>
      <w:r w:rsidR="00FB1D40" w:rsidRPr="00640D01">
        <w:t>pairs</w:t>
      </w:r>
      <w:r w:rsidRPr="00640D01">
        <w:t xml:space="preserve"> and resulting in OD trip tables. </w:t>
      </w:r>
      <w:r w:rsidR="00F6395C" w:rsidRPr="00640D01">
        <w:t xml:space="preserve">This </w:t>
      </w:r>
      <w:r w:rsidR="007F4D3E" w:rsidRPr="00640D01">
        <w:t xml:space="preserve">step </w:t>
      </w:r>
      <w:r w:rsidR="00800EEE" w:rsidRPr="00640D01">
        <w:t xml:space="preserve">is performed using </w:t>
      </w:r>
      <w:r w:rsidR="00684C90" w:rsidRPr="00640D01">
        <w:t xml:space="preserve">the </w:t>
      </w:r>
      <w:r w:rsidR="00800EEE" w:rsidRPr="00640D01">
        <w:rPr>
          <w:color w:val="7030A0"/>
        </w:rPr>
        <w:t>[</w:t>
      </w:r>
      <w:r w:rsidR="002B447F">
        <w:rPr>
          <w:b/>
          <w:bCs/>
          <w:color w:val="7030A0"/>
        </w:rPr>
        <w:t>t</w:t>
      </w:r>
      <w:r w:rsidR="00800EEE" w:rsidRPr="00640D01">
        <w:rPr>
          <w:b/>
          <w:bCs/>
          <w:color w:val="7030A0"/>
        </w:rPr>
        <w:t xml:space="preserve">rip </w:t>
      </w:r>
      <w:r w:rsidR="002B447F">
        <w:rPr>
          <w:b/>
          <w:bCs/>
          <w:color w:val="7030A0"/>
        </w:rPr>
        <w:t>d</w:t>
      </w:r>
      <w:r w:rsidR="00800EEE" w:rsidRPr="00640D01">
        <w:rPr>
          <w:b/>
          <w:bCs/>
          <w:color w:val="7030A0"/>
        </w:rPr>
        <w:t xml:space="preserve">istribution </w:t>
      </w:r>
      <w:r w:rsidR="002B447F">
        <w:rPr>
          <w:b/>
          <w:bCs/>
          <w:color w:val="7030A0"/>
        </w:rPr>
        <w:t>m</w:t>
      </w:r>
      <w:r w:rsidR="00800EEE" w:rsidRPr="00640D01">
        <w:rPr>
          <w:b/>
          <w:bCs/>
          <w:color w:val="7030A0"/>
        </w:rPr>
        <w:t>odel</w:t>
      </w:r>
      <w:r w:rsidR="00800EEE" w:rsidRPr="00640D01">
        <w:rPr>
          <w:color w:val="7030A0"/>
        </w:rPr>
        <w:t>].</w:t>
      </w:r>
    </w:p>
    <w:p w14:paraId="1208DA46" w14:textId="4C7213E6" w:rsidR="00A92279" w:rsidRPr="00640D01" w:rsidRDefault="00034ED8" w:rsidP="0038231B">
      <w:pPr>
        <w:pStyle w:val="BodyText"/>
      </w:pPr>
      <w:r w:rsidRPr="00640D01">
        <w:t xml:space="preserve">Trips </w:t>
      </w:r>
      <w:r w:rsidR="00F6395C" w:rsidRPr="00640D01">
        <w:t xml:space="preserve">were </w:t>
      </w:r>
      <w:r w:rsidRPr="00640D01">
        <w:t xml:space="preserve">allocated based on </w:t>
      </w:r>
      <w:r w:rsidRPr="00640D01">
        <w:rPr>
          <w:color w:val="7030A0"/>
        </w:rPr>
        <w:t>[</w:t>
      </w:r>
      <w:r w:rsidRPr="00640D01">
        <w:rPr>
          <w:b/>
          <w:bCs/>
          <w:color w:val="7030A0"/>
        </w:rPr>
        <w:t>trip allocation methodology</w:t>
      </w:r>
      <w:r w:rsidR="00B50B9E" w:rsidRPr="00640D01">
        <w:rPr>
          <w:b/>
          <w:bCs/>
          <w:color w:val="7030A0"/>
        </w:rPr>
        <w:t xml:space="preserve"> or procedures</w:t>
      </w:r>
      <w:r w:rsidRPr="00640D01">
        <w:rPr>
          <w:color w:val="7030A0"/>
        </w:rPr>
        <w:t>].</w:t>
      </w:r>
      <w:r w:rsidR="0086788A" w:rsidRPr="00640D01">
        <w:rPr>
          <w:color w:val="7030A0"/>
        </w:rPr>
        <w:t xml:space="preserve"> </w:t>
      </w:r>
      <w:r w:rsidR="0086788A" w:rsidRPr="00640D01">
        <w:t xml:space="preserve">Then, a reasonableness check was performed to ensure </w:t>
      </w:r>
      <w:r w:rsidR="00684C90" w:rsidRPr="00640D01">
        <w:t xml:space="preserve">that the </w:t>
      </w:r>
      <w:r w:rsidR="0086788A" w:rsidRPr="00640D01">
        <w:t xml:space="preserve">modeled trip </w:t>
      </w:r>
      <w:r w:rsidR="00324241" w:rsidRPr="00640D01">
        <w:t xml:space="preserve">information </w:t>
      </w:r>
      <w:r w:rsidR="00684C90" w:rsidRPr="00640D01">
        <w:t>wa</w:t>
      </w:r>
      <w:r w:rsidR="00324241" w:rsidRPr="00640D01">
        <w:t xml:space="preserve">s consistent with </w:t>
      </w:r>
      <w:r w:rsidR="00324241" w:rsidRPr="00640D01">
        <w:rPr>
          <w:color w:val="7030A0"/>
        </w:rPr>
        <w:t>[</w:t>
      </w:r>
      <w:r w:rsidR="001F3FBA" w:rsidRPr="00640D01">
        <w:rPr>
          <w:b/>
          <w:bCs/>
          <w:color w:val="7030A0"/>
        </w:rPr>
        <w:t>checking mechanism</w:t>
      </w:r>
      <w:r w:rsidR="00324241" w:rsidRPr="00640D01">
        <w:rPr>
          <w:color w:val="7030A0"/>
        </w:rPr>
        <w:t>]</w:t>
      </w:r>
      <w:r w:rsidR="0086788A" w:rsidRPr="00640D01">
        <w:rPr>
          <w:color w:val="7030A0"/>
        </w:rPr>
        <w:t>.</w:t>
      </w:r>
    </w:p>
    <w:p w14:paraId="6AB4078F" w14:textId="77777777" w:rsidR="00A92279" w:rsidRPr="00640D01" w:rsidRDefault="00017A79" w:rsidP="00A92279">
      <w:pPr>
        <w:pStyle w:val="Heading3"/>
      </w:pPr>
      <w:bookmarkStart w:id="59" w:name="_Toc190242704"/>
      <w:r w:rsidRPr="00640D01">
        <w:t>Mode Choice Model</w:t>
      </w:r>
      <w:bookmarkEnd w:id="59"/>
    </w:p>
    <w:p w14:paraId="42E9F354" w14:textId="4F7248CD" w:rsidR="00F6395C" w:rsidRPr="00640D01" w:rsidRDefault="005070E4" w:rsidP="0038231B">
      <w:pPr>
        <w:pStyle w:val="BodyText"/>
      </w:pPr>
      <w:r w:rsidRPr="00640D01">
        <w:t xml:space="preserve">The </w:t>
      </w:r>
      <w:r w:rsidR="002B447F">
        <w:t>m</w:t>
      </w:r>
      <w:r w:rsidRPr="00640D01">
        <w:t xml:space="preserve">ode </w:t>
      </w:r>
      <w:r w:rsidR="002B447F">
        <w:t>c</w:t>
      </w:r>
      <w:r w:rsidRPr="00640D01">
        <w:t xml:space="preserve">hoice </w:t>
      </w:r>
      <w:r w:rsidR="002B447F">
        <w:t>m</w:t>
      </w:r>
      <w:r w:rsidRPr="00640D01">
        <w:t>odel subsequently determines the mode of travel selected by travelers.</w:t>
      </w:r>
      <w:r w:rsidR="002F4628" w:rsidRPr="00640D01">
        <w:t xml:space="preserve"> </w:t>
      </w:r>
      <w:r w:rsidR="00F6395C" w:rsidRPr="00640D01">
        <w:t xml:space="preserve">This determination </w:t>
      </w:r>
      <w:r w:rsidR="00800EEE" w:rsidRPr="00640D01">
        <w:t xml:space="preserve">is performed using </w:t>
      </w:r>
      <w:r w:rsidR="00800EEE" w:rsidRPr="00640D01">
        <w:rPr>
          <w:color w:val="7030A0"/>
        </w:rPr>
        <w:t>[</w:t>
      </w:r>
      <w:r w:rsidR="002B447F">
        <w:rPr>
          <w:b/>
          <w:bCs/>
          <w:color w:val="7030A0"/>
        </w:rPr>
        <w:t>m</w:t>
      </w:r>
      <w:r w:rsidR="00800EEE" w:rsidRPr="00640D01">
        <w:rPr>
          <w:b/>
          <w:bCs/>
          <w:color w:val="7030A0"/>
        </w:rPr>
        <w:t xml:space="preserve">ode </w:t>
      </w:r>
      <w:r w:rsidR="002B447F">
        <w:rPr>
          <w:b/>
          <w:bCs/>
          <w:color w:val="7030A0"/>
        </w:rPr>
        <w:t>c</w:t>
      </w:r>
      <w:r w:rsidR="00800EEE" w:rsidRPr="00640D01">
        <w:rPr>
          <w:b/>
          <w:bCs/>
          <w:color w:val="7030A0"/>
        </w:rPr>
        <w:t xml:space="preserve">hoice </w:t>
      </w:r>
      <w:r w:rsidR="002B447F">
        <w:rPr>
          <w:b/>
          <w:bCs/>
          <w:color w:val="7030A0"/>
        </w:rPr>
        <w:t>m</w:t>
      </w:r>
      <w:r w:rsidR="00800EEE" w:rsidRPr="00640D01">
        <w:rPr>
          <w:b/>
          <w:bCs/>
          <w:color w:val="7030A0"/>
        </w:rPr>
        <w:t>odel</w:t>
      </w:r>
      <w:r w:rsidR="00800EEE" w:rsidRPr="00640D01">
        <w:rPr>
          <w:color w:val="7030A0"/>
        </w:rPr>
        <w:t xml:space="preserve">]. </w:t>
      </w:r>
      <w:r w:rsidR="002F4628" w:rsidRPr="00640D01">
        <w:t xml:space="preserve">These decisions are based on </w:t>
      </w:r>
      <w:r w:rsidR="007F4D3E" w:rsidRPr="00640D01">
        <w:t xml:space="preserve">the </w:t>
      </w:r>
      <w:r w:rsidR="002F4628" w:rsidRPr="00640D01">
        <w:t>characteristics of</w:t>
      </w:r>
      <w:r w:rsidR="00F6395C" w:rsidRPr="00640D01">
        <w:t>:</w:t>
      </w:r>
    </w:p>
    <w:p w14:paraId="18602471" w14:textId="6E5FD00A" w:rsidR="00F6395C" w:rsidRPr="00640D01" w:rsidRDefault="00F6395C" w:rsidP="00F6395C">
      <w:pPr>
        <w:pStyle w:val="ListBullet"/>
      </w:pPr>
      <w:r w:rsidRPr="00640D01">
        <w:t>T</w:t>
      </w:r>
      <w:r w:rsidR="002F4628" w:rsidRPr="00640D01">
        <w:t>he trip maker (income and auto sufficiency)</w:t>
      </w:r>
      <w:r w:rsidRPr="00640D01">
        <w:t>.</w:t>
      </w:r>
    </w:p>
    <w:p w14:paraId="3C47C1D2" w14:textId="6CBCFB3A" w:rsidR="00F6395C" w:rsidRPr="00640D01" w:rsidRDefault="00F6395C" w:rsidP="00F6395C">
      <w:pPr>
        <w:pStyle w:val="ListBullet"/>
      </w:pPr>
      <w:r w:rsidRPr="00640D01">
        <w:lastRenderedPageBreak/>
        <w:t>T</w:t>
      </w:r>
      <w:r w:rsidR="002F4628" w:rsidRPr="00640D01">
        <w:t xml:space="preserve">he trip (purpose, </w:t>
      </w:r>
      <w:r w:rsidR="00AF346D" w:rsidRPr="00640D01">
        <w:t>length,</w:t>
      </w:r>
      <w:r w:rsidR="002F4628" w:rsidRPr="00640D01">
        <w:t xml:space="preserve"> and orientation)</w:t>
      </w:r>
      <w:r w:rsidRPr="00640D01">
        <w:t>.</w:t>
      </w:r>
    </w:p>
    <w:p w14:paraId="2206CA90" w14:textId="28FED9FB" w:rsidR="00F6395C" w:rsidRPr="00640D01" w:rsidRDefault="00F6395C" w:rsidP="00F6395C">
      <w:pPr>
        <w:pStyle w:val="ListBullet"/>
      </w:pPr>
      <w:r w:rsidRPr="00640D01">
        <w:t>T</w:t>
      </w:r>
      <w:r w:rsidR="002F4628" w:rsidRPr="00640D01">
        <w:t>he availability and utility of the competing transportation modes.</w:t>
      </w:r>
    </w:p>
    <w:p w14:paraId="79DADC74" w14:textId="4CB3CB81" w:rsidR="00A92279" w:rsidRPr="00640D01" w:rsidRDefault="00A8077D" w:rsidP="0038231B">
      <w:pPr>
        <w:pStyle w:val="BodyText"/>
      </w:pPr>
      <w:r w:rsidRPr="00640D01">
        <w:fldChar w:fldCharType="begin"/>
      </w:r>
      <w:r w:rsidRPr="00640D01">
        <w:instrText xml:space="preserve"> REF _Ref152841126 \h </w:instrText>
      </w:r>
      <w:r w:rsidRPr="00640D01">
        <w:fldChar w:fldCharType="separate"/>
      </w:r>
      <w:r w:rsidR="00514311" w:rsidRPr="00640D01">
        <w:t xml:space="preserve">Table </w:t>
      </w:r>
      <w:r w:rsidR="00514311">
        <w:rPr>
          <w:noProof/>
        </w:rPr>
        <w:t>4</w:t>
      </w:r>
      <w:r w:rsidR="00514311">
        <w:noBreakHyphen/>
      </w:r>
      <w:r w:rsidR="00514311">
        <w:rPr>
          <w:noProof/>
        </w:rPr>
        <w:t>1</w:t>
      </w:r>
      <w:r w:rsidRPr="00640D01">
        <w:fldChar w:fldCharType="end"/>
      </w:r>
      <w:r w:rsidRPr="00640D01">
        <w:t xml:space="preserve"> shows the </w:t>
      </w:r>
      <w:r w:rsidR="00F6395C" w:rsidRPr="00640D01">
        <w:t>mode choices included</w:t>
      </w:r>
      <w:r w:rsidR="00AF346D" w:rsidRPr="00640D01">
        <w:t>.</w:t>
      </w:r>
    </w:p>
    <w:p w14:paraId="0895255E" w14:textId="242CFF10" w:rsidR="00C86EB6" w:rsidRPr="00640D01" w:rsidRDefault="00C86EB6" w:rsidP="0038231B">
      <w:pPr>
        <w:pStyle w:val="TableCaption"/>
      </w:pPr>
      <w:bookmarkStart w:id="60" w:name="_Ref152841126"/>
      <w:bookmarkStart w:id="61" w:name="_Toc190183117"/>
      <w:r w:rsidRPr="00640D01">
        <w:t xml:space="preserve">Table </w:t>
      </w:r>
      <w:r w:rsidR="00514311">
        <w:fldChar w:fldCharType="begin"/>
      </w:r>
      <w:r w:rsidR="00514311">
        <w:instrText xml:space="preserve"> STYLEREF 1 \s </w:instrText>
      </w:r>
      <w:r w:rsidR="00514311">
        <w:fldChar w:fldCharType="separate"/>
      </w:r>
      <w:r w:rsidR="00514311">
        <w:rPr>
          <w:noProof/>
        </w:rPr>
        <w:t>4</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1</w:t>
      </w:r>
      <w:r w:rsidR="00514311">
        <w:fldChar w:fldCharType="end"/>
      </w:r>
      <w:bookmarkEnd w:id="60"/>
      <w:r w:rsidRPr="00640D01">
        <w:t xml:space="preserve">. Example </w:t>
      </w:r>
      <w:r w:rsidR="00A8077D" w:rsidRPr="00640D01">
        <w:t>of Mode Choices Modeled</w:t>
      </w:r>
      <w:r w:rsidRPr="00640D01">
        <w:t xml:space="preserve"> Table</w:t>
      </w:r>
      <w:bookmarkEnd w:id="61"/>
    </w:p>
    <w:tbl>
      <w:tblPr>
        <w:tblStyle w:val="TableGrid"/>
        <w:tblW w:w="0" w:type="auto"/>
        <w:jc w:val="center"/>
        <w:tblBorders>
          <w:left w:val="none" w:sz="0" w:space="0" w:color="auto"/>
          <w:right w:val="none" w:sz="0" w:space="0" w:color="auto"/>
        </w:tblBorders>
        <w:tblCellMar>
          <w:top w:w="29" w:type="dxa"/>
          <w:bottom w:w="29" w:type="dxa"/>
        </w:tblCellMar>
        <w:tblLook w:val="04A0" w:firstRow="1" w:lastRow="0" w:firstColumn="1" w:lastColumn="0" w:noHBand="0" w:noVBand="1"/>
      </w:tblPr>
      <w:tblGrid>
        <w:gridCol w:w="928"/>
        <w:gridCol w:w="1762"/>
      </w:tblGrid>
      <w:tr w:rsidR="00C86EB6" w:rsidRPr="00640D01" w14:paraId="74779F88" w14:textId="77777777" w:rsidTr="00176A31">
        <w:trPr>
          <w:trHeight w:val="317"/>
          <w:jc w:val="center"/>
        </w:trPr>
        <w:tc>
          <w:tcPr>
            <w:tcW w:w="0" w:type="auto"/>
            <w:tcBorders>
              <w:right w:val="single" w:sz="4" w:space="0" w:color="FFFFFF" w:themeColor="background1"/>
            </w:tcBorders>
            <w:shd w:val="clear" w:color="auto" w:fill="002060"/>
            <w:vAlign w:val="center"/>
          </w:tcPr>
          <w:p w14:paraId="5CC740C4" w14:textId="3ADF9F49" w:rsidR="00C86EB6" w:rsidRPr="00640D01" w:rsidRDefault="0038231B" w:rsidP="0038231B">
            <w:pPr>
              <w:pStyle w:val="TableHeader"/>
            </w:pPr>
            <w:r w:rsidRPr="00640D01">
              <w:t>Number</w:t>
            </w:r>
          </w:p>
        </w:tc>
        <w:tc>
          <w:tcPr>
            <w:tcW w:w="1762" w:type="dxa"/>
            <w:tcBorders>
              <w:left w:val="single" w:sz="4" w:space="0" w:color="FFFFFF" w:themeColor="background1"/>
            </w:tcBorders>
            <w:shd w:val="clear" w:color="auto" w:fill="002060"/>
            <w:vAlign w:val="center"/>
          </w:tcPr>
          <w:p w14:paraId="630C9331" w14:textId="2FEE8019" w:rsidR="00C86EB6" w:rsidRPr="00640D01" w:rsidRDefault="00A8077D" w:rsidP="0038231B">
            <w:pPr>
              <w:pStyle w:val="TableHeader"/>
            </w:pPr>
            <w:r w:rsidRPr="00640D01">
              <w:t>Mode Choice</w:t>
            </w:r>
          </w:p>
        </w:tc>
      </w:tr>
      <w:tr w:rsidR="00C86EB6" w:rsidRPr="00640D01" w14:paraId="3A61E933" w14:textId="77777777" w:rsidTr="00176A31">
        <w:trPr>
          <w:trHeight w:val="317"/>
          <w:jc w:val="center"/>
        </w:trPr>
        <w:tc>
          <w:tcPr>
            <w:tcW w:w="0" w:type="auto"/>
            <w:vAlign w:val="center"/>
          </w:tcPr>
          <w:p w14:paraId="2C30115B" w14:textId="77777777" w:rsidR="00C86EB6" w:rsidRPr="00640D01" w:rsidRDefault="00C86EB6" w:rsidP="0038231B">
            <w:pPr>
              <w:pStyle w:val="TableText"/>
            </w:pPr>
            <w:r w:rsidRPr="00640D01">
              <w:t>1</w:t>
            </w:r>
          </w:p>
        </w:tc>
        <w:tc>
          <w:tcPr>
            <w:tcW w:w="1762" w:type="dxa"/>
            <w:vAlign w:val="center"/>
          </w:tcPr>
          <w:p w14:paraId="4B1687BB" w14:textId="08F4ECF9" w:rsidR="00C86EB6" w:rsidRPr="00640D01" w:rsidRDefault="00A8077D" w:rsidP="0038231B">
            <w:pPr>
              <w:pStyle w:val="TableText"/>
            </w:pPr>
            <w:r w:rsidRPr="00640D01">
              <w:t>Drive alone</w:t>
            </w:r>
          </w:p>
        </w:tc>
      </w:tr>
      <w:tr w:rsidR="00C86EB6" w:rsidRPr="00640D01" w14:paraId="7D70ED35" w14:textId="77777777" w:rsidTr="00176A31">
        <w:trPr>
          <w:trHeight w:val="317"/>
          <w:jc w:val="center"/>
        </w:trPr>
        <w:tc>
          <w:tcPr>
            <w:tcW w:w="0" w:type="auto"/>
            <w:vAlign w:val="center"/>
          </w:tcPr>
          <w:p w14:paraId="593C2251" w14:textId="77777777" w:rsidR="00C86EB6" w:rsidRPr="00640D01" w:rsidRDefault="00C86EB6" w:rsidP="0038231B">
            <w:pPr>
              <w:pStyle w:val="TableText"/>
            </w:pPr>
            <w:r w:rsidRPr="00640D01">
              <w:t>2</w:t>
            </w:r>
          </w:p>
        </w:tc>
        <w:tc>
          <w:tcPr>
            <w:tcW w:w="1762" w:type="dxa"/>
            <w:vAlign w:val="center"/>
          </w:tcPr>
          <w:p w14:paraId="72FD60A1" w14:textId="6BB50AFB" w:rsidR="00C86EB6" w:rsidRPr="00640D01" w:rsidRDefault="00A8077D" w:rsidP="0038231B">
            <w:pPr>
              <w:pStyle w:val="TableText"/>
            </w:pPr>
            <w:r w:rsidRPr="00640D01">
              <w:t xml:space="preserve">Shared </w:t>
            </w:r>
            <w:r w:rsidR="0038231B" w:rsidRPr="00640D01">
              <w:t>r</w:t>
            </w:r>
            <w:r w:rsidRPr="00640D01">
              <w:t>ide</w:t>
            </w:r>
          </w:p>
        </w:tc>
      </w:tr>
    </w:tbl>
    <w:p w14:paraId="220267FB" w14:textId="14852320" w:rsidR="00017A79" w:rsidRPr="00640D01" w:rsidRDefault="00017A79" w:rsidP="0038231B">
      <w:pPr>
        <w:pStyle w:val="Heading3"/>
        <w:spacing w:before="240"/>
      </w:pPr>
      <w:bookmarkStart w:id="62" w:name="_Toc190242705"/>
      <w:r w:rsidRPr="00640D01">
        <w:t>Roadway Assignment Model</w:t>
      </w:r>
      <w:bookmarkEnd w:id="62"/>
    </w:p>
    <w:p w14:paraId="52EDBF04" w14:textId="1B733F77" w:rsidR="00A92279" w:rsidRPr="00640D01" w:rsidRDefault="007C0AA4" w:rsidP="0038231B">
      <w:pPr>
        <w:pStyle w:val="BodyText"/>
      </w:pPr>
      <w:r w:rsidRPr="00640D01">
        <w:t xml:space="preserve">The Roadway Assignment Model </w:t>
      </w:r>
      <w:r w:rsidR="00A00230" w:rsidRPr="00640D01">
        <w:t>loads the travel demand (trips) to the roadway network, calculates delay for congested links</w:t>
      </w:r>
      <w:r w:rsidR="00684C90" w:rsidRPr="00640D01">
        <w:t>,</w:t>
      </w:r>
      <w:r w:rsidR="00A00230" w:rsidRPr="00640D01">
        <w:t xml:space="preserve"> and reassigns as necessary to achieve network equilibrium.</w:t>
      </w:r>
      <w:r w:rsidR="00C8367E" w:rsidRPr="00640D01">
        <w:t xml:space="preserve"> </w:t>
      </w:r>
      <w:r w:rsidR="007F4D3E" w:rsidRPr="00640D01">
        <w:t xml:space="preserve">This step </w:t>
      </w:r>
      <w:r w:rsidR="00C8367E" w:rsidRPr="00640D01">
        <w:t xml:space="preserve">is performed using </w:t>
      </w:r>
      <w:r w:rsidR="00C8367E" w:rsidRPr="00640D01">
        <w:rPr>
          <w:color w:val="7030A0"/>
        </w:rPr>
        <w:t>[</w:t>
      </w:r>
      <w:r w:rsidR="00C8367E" w:rsidRPr="00640D01">
        <w:rPr>
          <w:b/>
          <w:bCs/>
          <w:color w:val="7030A0"/>
        </w:rPr>
        <w:t>Roadway Assignment Model</w:t>
      </w:r>
      <w:r w:rsidR="00C8367E" w:rsidRPr="00640D01">
        <w:rPr>
          <w:color w:val="7030A0"/>
        </w:rPr>
        <w:t>].</w:t>
      </w:r>
    </w:p>
    <w:p w14:paraId="42D6A299" w14:textId="43605772" w:rsidR="0011731C" w:rsidRPr="00640D01" w:rsidRDefault="00017A79" w:rsidP="0011731C">
      <w:pPr>
        <w:pStyle w:val="Heading2"/>
      </w:pPr>
      <w:bookmarkStart w:id="63" w:name="_Toc190242706"/>
      <w:r w:rsidRPr="00640D01">
        <w:t>Speed Estimation Procedure</w:t>
      </w:r>
      <w:bookmarkEnd w:id="63"/>
    </w:p>
    <w:p w14:paraId="27AD8597" w14:textId="7D16273F" w:rsidR="00365E40" w:rsidRPr="00640D01" w:rsidRDefault="00150D46" w:rsidP="0038231B">
      <w:pPr>
        <w:pStyle w:val="BodyText"/>
      </w:pPr>
      <w:r w:rsidRPr="00640D01">
        <w:t>As part of the TDM calibration process, speeds for each roadway facility type are estimated and further categorized by area type. These input speeds reflect the average daily travel speeds</w:t>
      </w:r>
      <w:r w:rsidR="00365E40" w:rsidRPr="00640D01">
        <w:t>.</w:t>
      </w:r>
    </w:p>
    <w:p w14:paraId="515BC028" w14:textId="2F566A82" w:rsidR="00017A79" w:rsidRPr="00640D01" w:rsidRDefault="00D95CC0" w:rsidP="0047601A">
      <w:pPr>
        <w:rPr>
          <w:color w:val="7030A0"/>
        </w:rPr>
      </w:pPr>
      <w:r w:rsidRPr="00640D01">
        <w:rPr>
          <w:color w:val="7030A0"/>
        </w:rPr>
        <w:t>[</w:t>
      </w:r>
      <w:r w:rsidR="00017A79" w:rsidRPr="00640D01">
        <w:rPr>
          <w:b/>
          <w:bCs/>
          <w:color w:val="7030A0"/>
        </w:rPr>
        <w:t>Include brief information o</w:t>
      </w:r>
      <w:r w:rsidR="00684C90" w:rsidRPr="00640D01">
        <w:rPr>
          <w:b/>
          <w:bCs/>
          <w:color w:val="7030A0"/>
        </w:rPr>
        <w:t>n</w:t>
      </w:r>
      <w:r w:rsidR="00017A79" w:rsidRPr="00640D01">
        <w:rPr>
          <w:b/>
          <w:bCs/>
          <w:color w:val="7030A0"/>
        </w:rPr>
        <w:t xml:space="preserve"> the approach and speed model used</w:t>
      </w:r>
      <w:r w:rsidR="0061265D" w:rsidRPr="00640D01">
        <w:rPr>
          <w:b/>
          <w:bCs/>
          <w:color w:val="7030A0"/>
        </w:rPr>
        <w:t>.</w:t>
      </w:r>
      <w:r w:rsidRPr="00640D01">
        <w:rPr>
          <w:color w:val="7030A0"/>
        </w:rPr>
        <w:t>]</w:t>
      </w:r>
    </w:p>
    <w:p w14:paraId="6DD78A09" w14:textId="77777777" w:rsidR="004C1003" w:rsidRPr="00640D01" w:rsidRDefault="004C1003" w:rsidP="004C1003">
      <w:pPr>
        <w:pStyle w:val="Heading2"/>
      </w:pPr>
      <w:bookmarkStart w:id="64" w:name="_Toc190242707"/>
      <w:r w:rsidRPr="00640D01">
        <w:t>Local Street VMT</w:t>
      </w:r>
      <w:bookmarkEnd w:id="64"/>
    </w:p>
    <w:p w14:paraId="00D77508" w14:textId="2140D27F" w:rsidR="004C1003" w:rsidRPr="00640D01" w:rsidRDefault="004C1003" w:rsidP="0038231B">
      <w:pPr>
        <w:pStyle w:val="BodyText"/>
        <w:rPr>
          <w:color w:val="7030A0"/>
        </w:rPr>
      </w:pPr>
      <w:r w:rsidRPr="00640D01">
        <w:t xml:space="preserve">The roadway network of the regional </w:t>
      </w:r>
      <w:r w:rsidR="000371CC" w:rsidRPr="00640D01">
        <w:t>TDM</w:t>
      </w:r>
      <w:r w:rsidRPr="00640D01">
        <w:t xml:space="preserve"> does not contain the details of local (residential) streets. However, a VMT estimate is possible based on data provided by the travel model. Local street VMT is calculated for each county by multiplying the number of intrazonal trips by the intrazonal trip length and then adding the VMT from the zone centroid connectors. The temporal distribution is assumed to be the same as for non-local streets</w:t>
      </w:r>
      <w:r w:rsidRPr="00640D01">
        <w:rPr>
          <w:color w:val="7030A0"/>
        </w:rPr>
        <w:t>.</w:t>
      </w:r>
    </w:p>
    <w:p w14:paraId="64B16DD3" w14:textId="129B8D27" w:rsidR="004C1003" w:rsidRPr="00640D01" w:rsidRDefault="004C1003" w:rsidP="004C1003">
      <w:pPr>
        <w:pStyle w:val="Heading2"/>
      </w:pPr>
      <w:bookmarkStart w:id="65" w:name="_Toc190242708"/>
      <w:r w:rsidRPr="00640D01">
        <w:t>Model VMT Adjustments</w:t>
      </w:r>
      <w:bookmarkEnd w:id="65"/>
    </w:p>
    <w:p w14:paraId="05CF2128" w14:textId="546CBAE4" w:rsidR="004C1003" w:rsidRPr="00640D01" w:rsidRDefault="004C1003" w:rsidP="0038231B">
      <w:pPr>
        <w:pStyle w:val="BodyText"/>
      </w:pPr>
      <w:r w:rsidRPr="00640D01">
        <w:t xml:space="preserve">An adjustment factor based on </w:t>
      </w:r>
      <w:r w:rsidR="0061265D" w:rsidRPr="00640D01">
        <w:t>the Texas Department of Transportation’s (</w:t>
      </w:r>
      <w:r w:rsidRPr="00640D01">
        <w:t>TxDOT’s</w:t>
      </w:r>
      <w:r w:rsidR="0061265D" w:rsidRPr="00640D01">
        <w:t>)</w:t>
      </w:r>
      <w:r w:rsidRPr="00640D01">
        <w:t xml:space="preserve"> Highway Performance Monitoring System (HPMS) was applied to the TDM’s VMT to ensure consistent reporting across the state. The HPMS adjustment factor is applied to the model estimated time-of-day VMT before the estimation of time-of-day speed. In this way, the time-of-day speeds used in the estimation of emissions are based on HPMS-adjusted VMT. This methodology is consistent with the procedures used by the </w:t>
      </w:r>
      <w:r w:rsidR="0061265D" w:rsidRPr="00640D01">
        <w:t>Texas A&amp;M Transportation Institute (</w:t>
      </w:r>
      <w:r w:rsidRPr="00640D01">
        <w:t>TTI</w:t>
      </w:r>
      <w:r w:rsidR="0061265D" w:rsidRPr="00640D01">
        <w:t>)</w:t>
      </w:r>
      <w:r w:rsidRPr="00640D01">
        <w:t xml:space="preserve"> in developing model adjustment factors for the rest of Texas.</w:t>
      </w:r>
    </w:p>
    <w:p w14:paraId="7637B0E1" w14:textId="77777777" w:rsidR="004C1003" w:rsidRPr="00640D01" w:rsidRDefault="004C1003" w:rsidP="004C1003">
      <w:pPr>
        <w:pStyle w:val="Heading3"/>
      </w:pPr>
      <w:bookmarkStart w:id="66" w:name="_Toc190242709"/>
      <w:r w:rsidRPr="00640D01">
        <w:t>HPMS Adjustments</w:t>
      </w:r>
      <w:bookmarkEnd w:id="66"/>
    </w:p>
    <w:p w14:paraId="43129C46" w14:textId="130EB374" w:rsidR="00D34989" w:rsidRPr="00640D01" w:rsidRDefault="00D34989" w:rsidP="0038231B">
      <w:pPr>
        <w:pStyle w:val="BodyText"/>
      </w:pPr>
      <w:r w:rsidRPr="00640D01">
        <w:t xml:space="preserve">The HPMS adjustment factor is applied to the model estimated time-of-day VMT prior to the estimation of time-of-day speed. In this way, the time-of-day speeds used in the estimation of emissions are based on </w:t>
      </w:r>
      <w:r w:rsidR="0061265D" w:rsidRPr="00640D01">
        <w:t xml:space="preserve">the </w:t>
      </w:r>
      <w:r w:rsidRPr="00640D01">
        <w:t>HPMS</w:t>
      </w:r>
      <w:r w:rsidR="0061265D" w:rsidRPr="00640D01">
        <w:t>-</w:t>
      </w:r>
      <w:r w:rsidRPr="00640D01">
        <w:t>adjusted VMT. The factor used to reconcile model</w:t>
      </w:r>
      <w:r w:rsidR="0061265D" w:rsidRPr="00640D01">
        <w:t>-</w:t>
      </w:r>
      <w:r w:rsidRPr="00640D01">
        <w:t xml:space="preserve">estimated </w:t>
      </w:r>
      <w:r w:rsidRPr="00640D01">
        <w:lastRenderedPageBreak/>
        <w:t>regional VMT to HPMS</w:t>
      </w:r>
      <w:r w:rsidR="0061265D" w:rsidRPr="00640D01">
        <w:t>-</w:t>
      </w:r>
      <w:r w:rsidRPr="00640D01">
        <w:t>estimated regional VMT is calculated by dividing the HPMS</w:t>
      </w:r>
      <w:r w:rsidR="0061265D" w:rsidRPr="00640D01">
        <w:t>-</w:t>
      </w:r>
      <w:r w:rsidRPr="00640D01">
        <w:t>estimated average non-summer weekday VMT</w:t>
      </w:r>
      <w:r w:rsidR="0061265D" w:rsidRPr="00640D01">
        <w:t>:</w:t>
      </w:r>
    </w:p>
    <w:p w14:paraId="692D045B" w14:textId="77777777" w:rsidR="00C96BC7" w:rsidRPr="00640D01" w:rsidRDefault="00C96BC7" w:rsidP="0038231B">
      <w:pPr>
        <w:pStyle w:val="BodyText"/>
        <w:rPr>
          <w:rFonts w:eastAsiaTheme="minorEastAsia"/>
        </w:rPr>
      </w:pPr>
      <m:oMathPara>
        <m:oMath>
          <m:r>
            <w:rPr>
              <w:rFonts w:ascii="Cambria Math" w:hAnsi="Cambria Math"/>
            </w:rPr>
            <m:t>HPMS</m:t>
          </m:r>
          <m:r>
            <m:rPr>
              <m:sty m:val="p"/>
            </m:rPr>
            <w:rPr>
              <w:rFonts w:ascii="Cambria Math" w:hAnsi="Cambria Math"/>
            </w:rPr>
            <m:t xml:space="preserve"> </m:t>
          </m:r>
          <m:r>
            <w:rPr>
              <w:rFonts w:ascii="Cambria Math" w:hAnsi="Cambria Math"/>
            </w:rPr>
            <m:t>ANSWT</m:t>
          </m:r>
          <m:r>
            <m:rPr>
              <m:sty m:val="p"/>
            </m:rPr>
            <w:rPr>
              <w:rFonts w:ascii="Cambria Math" w:hAnsi="Cambria Math"/>
            </w:rPr>
            <m:t>=</m:t>
          </m:r>
          <m:r>
            <w:rPr>
              <w:rFonts w:ascii="Cambria Math" w:hAnsi="Cambria Math"/>
            </w:rPr>
            <m:t>HPMS</m:t>
          </m:r>
          <m:r>
            <m:rPr>
              <m:sty m:val="p"/>
            </m:rPr>
            <w:rPr>
              <w:rFonts w:ascii="Cambria Math" w:hAnsi="Cambria Math"/>
            </w:rPr>
            <m:t xml:space="preserve"> </m:t>
          </m:r>
          <m:r>
            <w:rPr>
              <w:rFonts w:ascii="Cambria Math" w:hAnsi="Cambria Math"/>
            </w:rPr>
            <m:t>AADT</m:t>
          </m:r>
          <m:r>
            <m:rPr>
              <m:sty m:val="p"/>
            </m:rPr>
            <w:rPr>
              <w:rFonts w:ascii="Cambria Math" w:hAnsi="Cambria Math"/>
            </w:rPr>
            <m:t xml:space="preserve"> ×</m:t>
          </m:r>
          <m:r>
            <w:rPr>
              <w:rFonts w:ascii="Cambria Math" w:hAnsi="Cambria Math"/>
            </w:rPr>
            <m:t>AADT</m:t>
          </m:r>
          <m:r>
            <m:rPr>
              <m:sty m:val="p"/>
            </m:rPr>
            <w:rPr>
              <w:rFonts w:ascii="Cambria Math" w:hAnsi="Cambria Math"/>
            </w:rPr>
            <m:t>_</m:t>
          </m:r>
          <m:r>
            <w:rPr>
              <w:rFonts w:ascii="Cambria Math" w:hAnsi="Cambria Math"/>
            </w:rPr>
            <m:t>to</m:t>
          </m:r>
          <m:r>
            <m:rPr>
              <m:sty m:val="p"/>
            </m:rPr>
            <w:rPr>
              <w:rFonts w:ascii="Cambria Math" w:hAnsi="Cambria Math"/>
            </w:rPr>
            <m:t>_</m:t>
          </m:r>
          <m:r>
            <w:rPr>
              <w:rFonts w:ascii="Cambria Math" w:hAnsi="Cambria Math"/>
            </w:rPr>
            <m:t>ANSWT</m:t>
          </m:r>
          <m:r>
            <m:rPr>
              <m:sty m:val="p"/>
            </m:rPr>
            <w:rPr>
              <w:rFonts w:ascii="Cambria Math" w:hAnsi="Cambria Math"/>
            </w:rPr>
            <m:t xml:space="preserve"> </m:t>
          </m:r>
          <m:r>
            <w:rPr>
              <w:rFonts w:ascii="Cambria Math" w:hAnsi="Cambria Math"/>
            </w:rPr>
            <m:t>factor</m:t>
          </m:r>
          <m:r>
            <m:rPr>
              <m:sty m:val="p"/>
            </m:rPr>
            <w:rPr>
              <w:rFonts w:ascii="Cambria Math" w:eastAsiaTheme="minorEastAsia" w:hAnsi="Cambria Math"/>
            </w:rPr>
            <m:t xml:space="preserve"> </m:t>
          </m:r>
        </m:oMath>
      </m:oMathPara>
    </w:p>
    <w:p w14:paraId="7F0D00A1" w14:textId="77777777" w:rsidR="00C96BC7" w:rsidRPr="00640D01" w:rsidRDefault="00C96BC7" w:rsidP="00C96BC7">
      <w:pPr>
        <w:rPr>
          <w:rFonts w:eastAsiaTheme="minorEastAsia"/>
        </w:rPr>
      </w:pPr>
      <m:oMathPara>
        <m:oMath>
          <m:r>
            <w:rPr>
              <w:rFonts w:ascii="Cambria Math" w:eastAsiaTheme="minorEastAsia" w:hAnsi="Cambria Math"/>
            </w:rPr>
            <m:t>HPMS factor=HPMS ANSWT/Model_estimated_ANSWT</m:t>
          </m:r>
        </m:oMath>
      </m:oMathPara>
    </w:p>
    <w:p w14:paraId="30DE1E12" w14:textId="372DE2D2" w:rsidR="00C96BC7" w:rsidRPr="00640D01" w:rsidRDefault="00C96BC7" w:rsidP="0038231B">
      <w:pPr>
        <w:pStyle w:val="BodyText"/>
      </w:pPr>
      <w:r w:rsidRPr="00640D01">
        <w:t>Where</w:t>
      </w:r>
      <w:r w:rsidR="0038231B" w:rsidRPr="00640D01">
        <w:t>:</w:t>
      </w:r>
    </w:p>
    <w:p w14:paraId="54345C80" w14:textId="13545564" w:rsidR="00C96BC7" w:rsidRPr="00640D01" w:rsidRDefault="00C96BC7" w:rsidP="0038231B">
      <w:pPr>
        <w:pStyle w:val="BodyText"/>
      </w:pPr>
      <w:r w:rsidRPr="00640D01">
        <w:rPr>
          <w:i/>
          <w:iCs/>
        </w:rPr>
        <w:t>HPMS ANSWT</w:t>
      </w:r>
      <w:r w:rsidRPr="00640D01">
        <w:t xml:space="preserve"> = HPMS-based average non-summer weekday travel</w:t>
      </w:r>
      <w:r w:rsidR="0061265D" w:rsidRPr="00640D01">
        <w:t>.</w:t>
      </w:r>
    </w:p>
    <w:p w14:paraId="77CD6AAC" w14:textId="11D25A2C" w:rsidR="00C96BC7" w:rsidRPr="00640D01" w:rsidRDefault="00C96BC7" w:rsidP="0038231B">
      <w:pPr>
        <w:pStyle w:val="BodyText"/>
      </w:pPr>
      <w:r w:rsidRPr="00640D01">
        <w:t xml:space="preserve">As </w:t>
      </w:r>
      <w:r w:rsidRPr="00640D01">
        <w:fldChar w:fldCharType="begin"/>
      </w:r>
      <w:r w:rsidRPr="00640D01">
        <w:instrText xml:space="preserve"> REF _Ref535829871 \h </w:instrText>
      </w:r>
      <w:r w:rsidR="0038231B" w:rsidRPr="00640D01">
        <w:instrText xml:space="preserve"> \* MERGEFORMAT </w:instrText>
      </w:r>
      <w:r w:rsidRPr="00640D01">
        <w:fldChar w:fldCharType="separate"/>
      </w:r>
      <w:r w:rsidR="00514311" w:rsidRPr="00640D01">
        <w:t xml:space="preserve">Table </w:t>
      </w:r>
      <w:r w:rsidR="00514311">
        <w:t>4</w:t>
      </w:r>
      <w:r w:rsidR="00514311">
        <w:noBreakHyphen/>
        <w:t>2</w:t>
      </w:r>
      <w:r w:rsidRPr="00640D01">
        <w:fldChar w:fldCharType="end"/>
      </w:r>
      <w:r w:rsidR="0061265D" w:rsidRPr="00640D01">
        <w:t xml:space="preserve"> shows</w:t>
      </w:r>
      <w:r w:rsidRPr="00640D01">
        <w:t xml:space="preserve">, the </w:t>
      </w:r>
      <w:r w:rsidR="00DD6869" w:rsidRPr="00640D01">
        <w:t xml:space="preserve">HPMS </w:t>
      </w:r>
      <w:r w:rsidRPr="00640D01">
        <w:t>adjustment factor was calculated</w:t>
      </w:r>
      <w:r w:rsidR="000371CC" w:rsidRPr="00640D01">
        <w:t xml:space="preserve"> based on these calculations</w:t>
      </w:r>
      <w:r w:rsidRPr="00640D01">
        <w:t>.</w:t>
      </w:r>
    </w:p>
    <w:p w14:paraId="1E822FF6" w14:textId="4D578E1A" w:rsidR="00C96BC7" w:rsidRPr="00640D01" w:rsidRDefault="00C96BC7" w:rsidP="0038231B">
      <w:pPr>
        <w:pStyle w:val="TableCaption"/>
      </w:pPr>
      <w:bookmarkStart w:id="67" w:name="_Ref535829871"/>
      <w:bookmarkStart w:id="68" w:name="_Ref535829888"/>
      <w:bookmarkStart w:id="69" w:name="_Toc190183118"/>
      <w:r w:rsidRPr="00640D01">
        <w:t xml:space="preserve">Table </w:t>
      </w:r>
      <w:r w:rsidR="00514311">
        <w:fldChar w:fldCharType="begin"/>
      </w:r>
      <w:r w:rsidR="00514311">
        <w:instrText xml:space="preserve"> STYLEREF 1 \s </w:instrText>
      </w:r>
      <w:r w:rsidR="00514311">
        <w:fldChar w:fldCharType="separate"/>
      </w:r>
      <w:r w:rsidR="00514311">
        <w:rPr>
          <w:noProof/>
        </w:rPr>
        <w:t>4</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2</w:t>
      </w:r>
      <w:r w:rsidR="00514311">
        <w:fldChar w:fldCharType="end"/>
      </w:r>
      <w:bookmarkEnd w:id="67"/>
      <w:r w:rsidRPr="00640D01">
        <w:t xml:space="preserve">. </w:t>
      </w:r>
      <w:r w:rsidR="00294919" w:rsidRPr="00640D01">
        <w:rPr>
          <w:color w:val="7030A0"/>
        </w:rPr>
        <w:t xml:space="preserve">[TDM Validation Year] </w:t>
      </w:r>
      <w:r w:rsidRPr="00640D01">
        <w:rPr>
          <w:sz w:val="22"/>
        </w:rPr>
        <w:t>HPMS Factor</w:t>
      </w:r>
      <w:bookmarkEnd w:id="68"/>
      <w:bookmarkEnd w:id="69"/>
    </w:p>
    <w:tbl>
      <w:tblPr>
        <w:tblStyle w:val="TTITable"/>
        <w:tblW w:w="0" w:type="auto"/>
        <w:tblCellMar>
          <w:top w:w="29" w:type="dxa"/>
          <w:bottom w:w="29" w:type="dxa"/>
        </w:tblCellMar>
        <w:tblLook w:val="04A0" w:firstRow="1" w:lastRow="0" w:firstColumn="1" w:lastColumn="0" w:noHBand="0" w:noVBand="1"/>
      </w:tblPr>
      <w:tblGrid>
        <w:gridCol w:w="1872"/>
        <w:gridCol w:w="1959"/>
        <w:gridCol w:w="1766"/>
        <w:gridCol w:w="1872"/>
        <w:gridCol w:w="1891"/>
      </w:tblGrid>
      <w:tr w:rsidR="00C96BC7" w:rsidRPr="00640D01" w14:paraId="12F81B43" w14:textId="77777777" w:rsidTr="00514311">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72" w:type="dxa"/>
            <w:shd w:val="clear" w:color="auto" w:fill="002060"/>
          </w:tcPr>
          <w:p w14:paraId="0376C45E" w14:textId="09964CEF" w:rsidR="00C96BC7" w:rsidRPr="00640D01" w:rsidRDefault="00C96BC7" w:rsidP="0038231B">
            <w:pPr>
              <w:pStyle w:val="TableHeader"/>
              <w:rPr>
                <w:b/>
                <w:bCs/>
                <w:vertAlign w:val="superscript"/>
              </w:rPr>
            </w:pPr>
            <w:r w:rsidRPr="00640D01">
              <w:rPr>
                <w:b/>
                <w:bCs/>
              </w:rPr>
              <w:t>HPMS AADT VMT</w:t>
            </w:r>
            <w:r w:rsidRPr="00640D01">
              <w:rPr>
                <w:b/>
                <w:bCs/>
                <w:vertAlign w:val="superscript"/>
              </w:rPr>
              <w:t>1</w:t>
            </w:r>
          </w:p>
        </w:tc>
        <w:tc>
          <w:tcPr>
            <w:tcW w:w="1959" w:type="dxa"/>
            <w:shd w:val="clear" w:color="auto" w:fill="002060"/>
          </w:tcPr>
          <w:p w14:paraId="7E57EF02" w14:textId="77777777" w:rsidR="00C96BC7" w:rsidRPr="00640D01" w:rsidRDefault="00C96BC7" w:rsidP="0038231B">
            <w:pPr>
              <w:pStyle w:val="TableHeader"/>
              <w:cnfStyle w:val="100000000000" w:firstRow="1" w:lastRow="0" w:firstColumn="0" w:lastColumn="0" w:oddVBand="0" w:evenVBand="0" w:oddHBand="0" w:evenHBand="0" w:firstRowFirstColumn="0" w:firstRowLastColumn="0" w:lastRowFirstColumn="0" w:lastRowLastColumn="0"/>
              <w:rPr>
                <w:b/>
                <w:bCs/>
              </w:rPr>
            </w:pPr>
            <w:r w:rsidRPr="00640D01">
              <w:rPr>
                <w:b/>
                <w:bCs/>
              </w:rPr>
              <w:t>AADT-to-ANSWT Factor</w:t>
            </w:r>
          </w:p>
        </w:tc>
        <w:tc>
          <w:tcPr>
            <w:tcW w:w="1766" w:type="dxa"/>
            <w:shd w:val="clear" w:color="auto" w:fill="002060"/>
          </w:tcPr>
          <w:p w14:paraId="0E792E05" w14:textId="77777777" w:rsidR="00C96BC7" w:rsidRPr="00640D01" w:rsidRDefault="00C96BC7" w:rsidP="0038231B">
            <w:pPr>
              <w:pStyle w:val="TableHeader"/>
              <w:cnfStyle w:val="100000000000" w:firstRow="1" w:lastRow="0" w:firstColumn="0" w:lastColumn="0" w:oddVBand="0" w:evenVBand="0" w:oddHBand="0" w:evenHBand="0" w:firstRowFirstColumn="0" w:firstRowLastColumn="0" w:lastRowFirstColumn="0" w:lastRowLastColumn="0"/>
              <w:rPr>
                <w:b/>
                <w:bCs/>
              </w:rPr>
            </w:pPr>
            <w:r w:rsidRPr="00640D01">
              <w:rPr>
                <w:b/>
                <w:bCs/>
              </w:rPr>
              <w:t>HPMS-Based ANSWT VMT</w:t>
            </w:r>
          </w:p>
        </w:tc>
        <w:tc>
          <w:tcPr>
            <w:tcW w:w="1872" w:type="dxa"/>
            <w:shd w:val="clear" w:color="auto" w:fill="002060"/>
          </w:tcPr>
          <w:p w14:paraId="59E726E5" w14:textId="5DA4C033" w:rsidR="00C96BC7" w:rsidRPr="00640D01" w:rsidRDefault="00C96BC7" w:rsidP="0038231B">
            <w:pPr>
              <w:pStyle w:val="TableHeader"/>
              <w:cnfStyle w:val="100000000000" w:firstRow="1" w:lastRow="0" w:firstColumn="0" w:lastColumn="0" w:oddVBand="0" w:evenVBand="0" w:oddHBand="0" w:evenHBand="0" w:firstRowFirstColumn="0" w:firstRowLastColumn="0" w:lastRowFirstColumn="0" w:lastRowLastColumn="0"/>
              <w:rPr>
                <w:b/>
                <w:bCs/>
                <w:vertAlign w:val="superscript"/>
              </w:rPr>
            </w:pPr>
            <w:r w:rsidRPr="00640D01">
              <w:rPr>
                <w:b/>
                <w:bCs/>
              </w:rPr>
              <w:t xml:space="preserve">TDM </w:t>
            </w:r>
            <w:r w:rsidR="000371CC" w:rsidRPr="00640D01">
              <w:rPr>
                <w:b/>
                <w:bCs/>
              </w:rPr>
              <w:t>VMT</w:t>
            </w:r>
            <w:r w:rsidR="000371CC" w:rsidRPr="00640D01">
              <w:rPr>
                <w:b/>
                <w:bCs/>
                <w:vertAlign w:val="superscript"/>
              </w:rPr>
              <w:t>*</w:t>
            </w:r>
          </w:p>
        </w:tc>
        <w:tc>
          <w:tcPr>
            <w:tcW w:w="1891" w:type="dxa"/>
            <w:shd w:val="clear" w:color="auto" w:fill="002060"/>
          </w:tcPr>
          <w:p w14:paraId="13CBF80F" w14:textId="658EFFFB" w:rsidR="00C96BC7" w:rsidRPr="00640D01" w:rsidRDefault="00C96BC7" w:rsidP="0038231B">
            <w:pPr>
              <w:pStyle w:val="TableHeader"/>
              <w:cnfStyle w:val="100000000000" w:firstRow="1" w:lastRow="0" w:firstColumn="0" w:lastColumn="0" w:oddVBand="0" w:evenVBand="0" w:oddHBand="0" w:evenHBand="0" w:firstRowFirstColumn="0" w:firstRowLastColumn="0" w:lastRowFirstColumn="0" w:lastRowLastColumn="0"/>
              <w:rPr>
                <w:b/>
                <w:bCs/>
                <w:vertAlign w:val="superscript"/>
              </w:rPr>
            </w:pPr>
            <w:r w:rsidRPr="00640D01">
              <w:rPr>
                <w:b/>
                <w:bCs/>
              </w:rPr>
              <w:t xml:space="preserve">HPMS </w:t>
            </w:r>
            <w:r w:rsidR="000371CC" w:rsidRPr="00640D01">
              <w:rPr>
                <w:b/>
                <w:bCs/>
              </w:rPr>
              <w:t>Factor</w:t>
            </w:r>
            <w:r w:rsidR="000371CC" w:rsidRPr="00640D01">
              <w:rPr>
                <w:b/>
                <w:bCs/>
                <w:vertAlign w:val="superscript"/>
              </w:rPr>
              <w:t>**</w:t>
            </w:r>
          </w:p>
        </w:tc>
      </w:tr>
      <w:tr w:rsidR="00C96BC7" w:rsidRPr="00640D01" w14:paraId="67B94B0F"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1872" w:type="dxa"/>
          </w:tcPr>
          <w:p w14:paraId="533A9B93" w14:textId="5B9ECF31" w:rsidR="00C96BC7" w:rsidRPr="00640D01" w:rsidRDefault="00C96BC7" w:rsidP="0038231B">
            <w:pPr>
              <w:pStyle w:val="TableText"/>
            </w:pPr>
          </w:p>
        </w:tc>
        <w:tc>
          <w:tcPr>
            <w:tcW w:w="1959" w:type="dxa"/>
          </w:tcPr>
          <w:p w14:paraId="0A6F4620" w14:textId="04D4326A" w:rsidR="00C96BC7" w:rsidRPr="00640D01" w:rsidRDefault="00C96BC7" w:rsidP="0038231B">
            <w:pPr>
              <w:pStyle w:val="TableText"/>
              <w:cnfStyle w:val="000000000000" w:firstRow="0" w:lastRow="0" w:firstColumn="0" w:lastColumn="0" w:oddVBand="0" w:evenVBand="0" w:oddHBand="0" w:evenHBand="0" w:firstRowFirstColumn="0" w:firstRowLastColumn="0" w:lastRowFirstColumn="0" w:lastRowLastColumn="0"/>
            </w:pPr>
          </w:p>
        </w:tc>
        <w:tc>
          <w:tcPr>
            <w:tcW w:w="1766" w:type="dxa"/>
          </w:tcPr>
          <w:p w14:paraId="69E1E66E" w14:textId="5CAD70FB" w:rsidR="00C96BC7" w:rsidRPr="00640D01" w:rsidRDefault="00C96BC7" w:rsidP="0038231B">
            <w:pPr>
              <w:pStyle w:val="TableText"/>
              <w:cnfStyle w:val="000000000000" w:firstRow="0" w:lastRow="0" w:firstColumn="0" w:lastColumn="0" w:oddVBand="0" w:evenVBand="0" w:oddHBand="0" w:evenHBand="0" w:firstRowFirstColumn="0" w:firstRowLastColumn="0" w:lastRowFirstColumn="0" w:lastRowLastColumn="0"/>
              <w:rPr>
                <w:rFonts w:eastAsia="Calibri"/>
              </w:rPr>
            </w:pPr>
          </w:p>
        </w:tc>
        <w:tc>
          <w:tcPr>
            <w:tcW w:w="1872" w:type="dxa"/>
          </w:tcPr>
          <w:p w14:paraId="1A51FBA1" w14:textId="4D915D19" w:rsidR="00C96BC7" w:rsidRPr="00640D01" w:rsidRDefault="00C96BC7" w:rsidP="0038231B">
            <w:pPr>
              <w:pStyle w:val="TableText"/>
              <w:cnfStyle w:val="000000000000" w:firstRow="0" w:lastRow="0" w:firstColumn="0" w:lastColumn="0" w:oddVBand="0" w:evenVBand="0" w:oddHBand="0" w:evenHBand="0" w:firstRowFirstColumn="0" w:firstRowLastColumn="0" w:lastRowFirstColumn="0" w:lastRowLastColumn="0"/>
              <w:rPr>
                <w:rFonts w:eastAsia="Calibri"/>
              </w:rPr>
            </w:pPr>
          </w:p>
        </w:tc>
        <w:tc>
          <w:tcPr>
            <w:tcW w:w="1891" w:type="dxa"/>
          </w:tcPr>
          <w:p w14:paraId="562F1805" w14:textId="15ED598E" w:rsidR="00C96BC7" w:rsidRPr="00640D01" w:rsidRDefault="00C96BC7" w:rsidP="0038231B">
            <w:pPr>
              <w:pStyle w:val="TableText"/>
              <w:cnfStyle w:val="000000000000" w:firstRow="0" w:lastRow="0" w:firstColumn="0" w:lastColumn="0" w:oddVBand="0" w:evenVBand="0" w:oddHBand="0" w:evenHBand="0" w:firstRowFirstColumn="0" w:firstRowLastColumn="0" w:lastRowFirstColumn="0" w:lastRowLastColumn="0"/>
              <w:rPr>
                <w:rFonts w:eastAsia="Calibri"/>
                <w:highlight w:val="yellow"/>
              </w:rPr>
            </w:pPr>
          </w:p>
        </w:tc>
      </w:tr>
    </w:tbl>
    <w:p w14:paraId="4A817715" w14:textId="41DAB104" w:rsidR="00C96BC7" w:rsidRPr="00640D01" w:rsidRDefault="000371CC" w:rsidP="00176A31">
      <w:pPr>
        <w:pStyle w:val="TableNote"/>
        <w:ind w:left="270" w:hanging="270"/>
      </w:pPr>
      <w:r w:rsidRPr="00176A31">
        <w:t>*</w:t>
      </w:r>
      <w:r w:rsidR="0061265D" w:rsidRPr="00640D01">
        <w:tab/>
      </w:r>
      <w:r w:rsidR="007A437D" w:rsidRPr="00640D01">
        <w:t xml:space="preserve">Total counties included. Counties included were </w:t>
      </w:r>
      <w:r w:rsidR="007A437D" w:rsidRPr="00176A31">
        <w:rPr>
          <w:color w:val="7030A0"/>
        </w:rPr>
        <w:t>[</w:t>
      </w:r>
      <w:r w:rsidR="007A437D" w:rsidRPr="00640D01">
        <w:rPr>
          <w:b/>
          <w:bCs/>
          <w:color w:val="7030A0"/>
        </w:rPr>
        <w:t>list counties included</w:t>
      </w:r>
      <w:r w:rsidR="007A437D" w:rsidRPr="00176A31">
        <w:rPr>
          <w:color w:val="7030A0"/>
        </w:rPr>
        <w:t>]</w:t>
      </w:r>
      <w:r w:rsidR="0061265D" w:rsidRPr="00176A31">
        <w:t>.</w:t>
      </w:r>
    </w:p>
    <w:p w14:paraId="63C24B66" w14:textId="28C793E4" w:rsidR="00C96BC7" w:rsidRPr="00640D01" w:rsidRDefault="000371CC" w:rsidP="00176A31">
      <w:pPr>
        <w:pStyle w:val="TableNote"/>
        <w:ind w:left="270" w:hanging="270"/>
      </w:pPr>
      <w:r w:rsidRPr="00176A31">
        <w:t>**</w:t>
      </w:r>
      <w:r w:rsidR="0061265D" w:rsidRPr="00176A31">
        <w:tab/>
      </w:r>
      <w:r w:rsidR="00C96BC7" w:rsidRPr="00640D01">
        <w:t>Applied to all analysis years and areas in the TDM.</w:t>
      </w:r>
    </w:p>
    <w:p w14:paraId="18FE7B02" w14:textId="6B1BFC73" w:rsidR="00017A79" w:rsidRPr="00640D01" w:rsidRDefault="004968C8" w:rsidP="004968C8">
      <w:pPr>
        <w:pStyle w:val="Heading3"/>
      </w:pPr>
      <w:bookmarkStart w:id="70" w:name="_Toc190242710"/>
      <w:r w:rsidRPr="00640D01">
        <w:t>Seasonal</w:t>
      </w:r>
      <w:r w:rsidR="00BF5CEE" w:rsidRPr="00640D01">
        <w:t xml:space="preserve"> and Daily</w:t>
      </w:r>
      <w:r w:rsidRPr="00640D01">
        <w:t xml:space="preserve"> Adjustments</w:t>
      </w:r>
      <w:bookmarkEnd w:id="70"/>
    </w:p>
    <w:p w14:paraId="66AEE352" w14:textId="7E4413DE" w:rsidR="008B58B2" w:rsidRPr="00640D01" w:rsidRDefault="009C5EE8" w:rsidP="0038231B">
      <w:pPr>
        <w:pStyle w:val="BodyText"/>
      </w:pPr>
      <w:r w:rsidRPr="00640D01">
        <w:t>Seasonal adjustment factors are used to adjust the TDM</w:t>
      </w:r>
      <w:r w:rsidR="001B55B6" w:rsidRPr="00640D01">
        <w:t xml:space="preserve">’s </w:t>
      </w:r>
      <w:r w:rsidRPr="00640D01">
        <w:t xml:space="preserve">VMT to summer weekday VMT. </w:t>
      </w:r>
      <w:r w:rsidR="0061265D" w:rsidRPr="00640D01">
        <w:t>Historical-</w:t>
      </w:r>
      <w:r w:rsidR="00A76CB8" w:rsidRPr="00640D01">
        <w:t xml:space="preserve">year vehicle population estimates are based on </w:t>
      </w:r>
      <w:r w:rsidR="000371CC" w:rsidRPr="00640D01">
        <w:t xml:space="preserve">the </w:t>
      </w:r>
      <w:r w:rsidR="0061265D" w:rsidRPr="00640D01">
        <w:t>Texas Department of Motor Vehicles</w:t>
      </w:r>
      <w:r w:rsidR="000371CC" w:rsidRPr="00640D01">
        <w:t>’</w:t>
      </w:r>
      <w:r w:rsidR="0061265D" w:rsidRPr="00640D01">
        <w:t xml:space="preserve"> (</w:t>
      </w:r>
      <w:r w:rsidR="00A76CB8" w:rsidRPr="00640D01">
        <w:t>TxDMV</w:t>
      </w:r>
      <w:r w:rsidR="000371CC" w:rsidRPr="00640D01">
        <w:t>’s</w:t>
      </w:r>
      <w:r w:rsidR="0061265D" w:rsidRPr="00640D01">
        <w:t>)</w:t>
      </w:r>
      <w:r w:rsidR="00A76CB8" w:rsidRPr="00640D01">
        <w:t xml:space="preserve"> mid-year registrations corresponding to the historical year</w:t>
      </w:r>
      <w:r w:rsidR="0061265D" w:rsidRPr="00640D01">
        <w:t>, and</w:t>
      </w:r>
      <w:r w:rsidR="008C5360" w:rsidRPr="00640D01">
        <w:t xml:space="preserve"> </w:t>
      </w:r>
      <w:r w:rsidR="00FD4FD3" w:rsidRPr="00640D01">
        <w:t xml:space="preserve">the </w:t>
      </w:r>
      <w:r w:rsidR="00590CB3" w:rsidRPr="00640D01">
        <w:t xml:space="preserve">most recent mid-year registration data </w:t>
      </w:r>
      <w:r w:rsidR="0061265D" w:rsidRPr="00640D01">
        <w:t xml:space="preserve">are </w:t>
      </w:r>
      <w:r w:rsidR="00590CB3" w:rsidRPr="00640D01">
        <w:t xml:space="preserve">used for </w:t>
      </w:r>
      <w:r w:rsidR="0061265D" w:rsidRPr="00640D01">
        <w:t xml:space="preserve">the </w:t>
      </w:r>
      <w:r w:rsidR="00590CB3" w:rsidRPr="00640D01">
        <w:t xml:space="preserve">future year. </w:t>
      </w:r>
      <w:r w:rsidR="00880085" w:rsidRPr="00640D01">
        <w:t xml:space="preserve">The </w:t>
      </w:r>
      <w:r w:rsidR="0051164A" w:rsidRPr="00640D01">
        <w:t xml:space="preserve">seasonal, daily, and hourly </w:t>
      </w:r>
      <w:r w:rsidR="00880085" w:rsidRPr="00640D01">
        <w:t xml:space="preserve">adjustment factors were developed using </w:t>
      </w:r>
      <w:r w:rsidR="00A44898" w:rsidRPr="00640D01">
        <w:t xml:space="preserve">the </w:t>
      </w:r>
      <w:r w:rsidR="00A44898" w:rsidRPr="00176A31">
        <w:rPr>
          <w:color w:val="7030A0"/>
        </w:rPr>
        <w:t>[</w:t>
      </w:r>
      <w:r w:rsidR="00A44898" w:rsidRPr="00640D01">
        <w:rPr>
          <w:b/>
          <w:bCs/>
          <w:color w:val="7030A0"/>
        </w:rPr>
        <w:t>base data</w:t>
      </w:r>
      <w:r w:rsidR="00A44898" w:rsidRPr="00176A31">
        <w:rPr>
          <w:color w:val="7030A0"/>
        </w:rPr>
        <w:t>]</w:t>
      </w:r>
      <w:r w:rsidR="00880085" w:rsidRPr="00640D01">
        <w:t xml:space="preserve"> </w:t>
      </w:r>
      <w:r w:rsidR="0061265D" w:rsidRPr="00640D01">
        <w:t>automated traffic recorder (</w:t>
      </w:r>
      <w:r w:rsidR="00880085" w:rsidRPr="00640D01">
        <w:t>ATR) data</w:t>
      </w:r>
      <w:r w:rsidR="00A42113" w:rsidRPr="00640D01">
        <w:t xml:space="preserve"> over the years </w:t>
      </w:r>
      <w:r w:rsidR="00A42113" w:rsidRPr="00640D01">
        <w:rPr>
          <w:color w:val="7030A0"/>
        </w:rPr>
        <w:t>[</w:t>
      </w:r>
      <w:r w:rsidR="00A42113" w:rsidRPr="00640D01">
        <w:rPr>
          <w:b/>
          <w:bCs/>
          <w:color w:val="7030A0"/>
        </w:rPr>
        <w:t>years</w:t>
      </w:r>
      <w:r w:rsidR="0061265D" w:rsidRPr="00640D01">
        <w:rPr>
          <w:b/>
          <w:bCs/>
          <w:color w:val="7030A0"/>
        </w:rPr>
        <w:t xml:space="preserve"> </w:t>
      </w:r>
      <w:r w:rsidR="0061265D" w:rsidRPr="00176A31">
        <w:rPr>
          <w:color w:val="7030A0"/>
        </w:rPr>
        <w:t>(</w:t>
      </w:r>
      <w:r w:rsidR="0061265D" w:rsidRPr="00640D01">
        <w:rPr>
          <w:color w:val="7030A0"/>
        </w:rPr>
        <w:t>e</w:t>
      </w:r>
      <w:r w:rsidR="00A42113" w:rsidRPr="00640D01">
        <w:rPr>
          <w:color w:val="7030A0"/>
        </w:rPr>
        <w:t>.g., 2005</w:t>
      </w:r>
      <w:r w:rsidR="0061265D" w:rsidRPr="00640D01">
        <w:rPr>
          <w:color w:val="7030A0"/>
        </w:rPr>
        <w:t>–</w:t>
      </w:r>
      <w:r w:rsidR="00A42113" w:rsidRPr="00640D01">
        <w:rPr>
          <w:color w:val="7030A0"/>
        </w:rPr>
        <w:t>2014</w:t>
      </w:r>
      <w:r w:rsidR="0061265D" w:rsidRPr="00640D01">
        <w:rPr>
          <w:color w:val="7030A0"/>
        </w:rPr>
        <w:t>)</w:t>
      </w:r>
      <w:r w:rsidR="00A42113" w:rsidRPr="00640D01">
        <w:rPr>
          <w:color w:val="7030A0"/>
        </w:rPr>
        <w:t>]</w:t>
      </w:r>
      <w:r w:rsidR="00880085" w:rsidRPr="00640D01">
        <w:rPr>
          <w:color w:val="7030A0"/>
        </w:rPr>
        <w:t>.</w:t>
      </w:r>
      <w:r w:rsidR="00956CC1" w:rsidRPr="00640D01">
        <w:rPr>
          <w:color w:val="7030A0"/>
        </w:rPr>
        <w:t xml:space="preserve"> </w:t>
      </w:r>
      <w:r w:rsidR="00956CC1" w:rsidRPr="00640D01">
        <w:t xml:space="preserve">To adjust the representative </w:t>
      </w:r>
      <w:r w:rsidR="003E1EF6" w:rsidRPr="00640D01">
        <w:t>seasonal</w:t>
      </w:r>
      <w:r w:rsidR="00956CC1" w:rsidRPr="00640D01">
        <w:t xml:space="preserve"> weekday traffic VMT from </w:t>
      </w:r>
      <w:r w:rsidR="008F7D0E" w:rsidRPr="00640D01">
        <w:t>TDM</w:t>
      </w:r>
      <w:r w:rsidR="00956CC1" w:rsidRPr="00640D01">
        <w:t xml:space="preserve"> to the specified day types in the summer season, ratios </w:t>
      </w:r>
      <w:r w:rsidR="00062248" w:rsidRPr="00640D01">
        <w:t xml:space="preserve">were calculated by dividing the average day-of-week (weekday) count for the </w:t>
      </w:r>
      <w:r w:rsidR="004F2CC8" w:rsidRPr="00640D01">
        <w:t xml:space="preserve">summer </w:t>
      </w:r>
      <w:r w:rsidR="00F47D99" w:rsidRPr="00640D01">
        <w:t>(June</w:t>
      </w:r>
      <w:r w:rsidR="0061265D" w:rsidRPr="00640D01">
        <w:t>–</w:t>
      </w:r>
      <w:r w:rsidR="00F47D99" w:rsidRPr="00640D01">
        <w:t xml:space="preserve">August) </w:t>
      </w:r>
      <w:r w:rsidR="004F2CC8" w:rsidRPr="00640D01">
        <w:t>and</w:t>
      </w:r>
      <w:r w:rsidR="00F47D99" w:rsidRPr="00640D01">
        <w:t>/or</w:t>
      </w:r>
      <w:r w:rsidR="004F2CC8" w:rsidRPr="00640D01">
        <w:t xml:space="preserve"> winter</w:t>
      </w:r>
      <w:r w:rsidR="00F47D99" w:rsidRPr="00640D01">
        <w:t xml:space="preserve"> (</w:t>
      </w:r>
      <w:r w:rsidR="00595E74" w:rsidRPr="00640D01">
        <w:t>December</w:t>
      </w:r>
      <w:r w:rsidR="0061265D" w:rsidRPr="00640D01">
        <w:t>–</w:t>
      </w:r>
      <w:r w:rsidR="00F47D99" w:rsidRPr="00640D01">
        <w:t>February)</w:t>
      </w:r>
      <w:r w:rsidR="00062248" w:rsidRPr="00640D01">
        <w:t xml:space="preserve"> episode</w:t>
      </w:r>
      <w:r w:rsidR="004F2CC8" w:rsidRPr="00640D01">
        <w:t>s</w:t>
      </w:r>
      <w:r w:rsidR="00062248" w:rsidRPr="00640D01">
        <w:t xml:space="preserve"> by the ANSWT count</w:t>
      </w:r>
      <w:r w:rsidR="00956CC1" w:rsidRPr="00640D01">
        <w:t>.</w:t>
      </w:r>
      <w:r w:rsidR="003B4EBE" w:rsidRPr="00640D01">
        <w:t xml:space="preserve"> </w:t>
      </w:r>
      <w:r w:rsidR="0061265D" w:rsidRPr="00640D01">
        <w:fldChar w:fldCharType="begin"/>
      </w:r>
      <w:r w:rsidR="0061265D" w:rsidRPr="00640D01">
        <w:instrText xml:space="preserve"> REF _Ref159397329 \h </w:instrText>
      </w:r>
      <w:r w:rsidR="0061265D" w:rsidRPr="00640D01">
        <w:fldChar w:fldCharType="separate"/>
      </w:r>
      <w:r w:rsidR="00514311" w:rsidRPr="00640D01">
        <w:t xml:space="preserve">Table </w:t>
      </w:r>
      <w:r w:rsidR="00514311">
        <w:rPr>
          <w:noProof/>
        </w:rPr>
        <w:t>4</w:t>
      </w:r>
      <w:r w:rsidR="00514311">
        <w:noBreakHyphen/>
      </w:r>
      <w:r w:rsidR="00514311">
        <w:rPr>
          <w:noProof/>
        </w:rPr>
        <w:t>3</w:t>
      </w:r>
      <w:r w:rsidR="0061265D" w:rsidRPr="00640D01">
        <w:fldChar w:fldCharType="end"/>
      </w:r>
      <w:r w:rsidR="0061265D" w:rsidRPr="00640D01">
        <w:t xml:space="preserve"> shows t</w:t>
      </w:r>
      <w:r w:rsidR="008B58B2" w:rsidRPr="00640D01">
        <w:t>he seasonal adjustment factors</w:t>
      </w:r>
      <w:r w:rsidR="0061265D" w:rsidRPr="00640D01">
        <w:t>.</w:t>
      </w:r>
      <w:r w:rsidR="008B58B2" w:rsidRPr="00640D01">
        <w:t xml:space="preserve"> </w:t>
      </w:r>
    </w:p>
    <w:p w14:paraId="5E53B274" w14:textId="738B73E6" w:rsidR="008B58B2" w:rsidRPr="00640D01" w:rsidRDefault="008B58B2" w:rsidP="0038231B">
      <w:pPr>
        <w:pStyle w:val="TableCaption"/>
      </w:pPr>
      <w:bookmarkStart w:id="71" w:name="_Ref159397329"/>
      <w:bookmarkStart w:id="72" w:name="_Toc190183119"/>
      <w:r w:rsidRPr="00640D01">
        <w:t xml:space="preserve">Table </w:t>
      </w:r>
      <w:r w:rsidR="00514311">
        <w:fldChar w:fldCharType="begin"/>
      </w:r>
      <w:r w:rsidR="00514311">
        <w:instrText xml:space="preserve"> STYLEREF 1 \s </w:instrText>
      </w:r>
      <w:r w:rsidR="00514311">
        <w:fldChar w:fldCharType="separate"/>
      </w:r>
      <w:r w:rsidR="00514311">
        <w:rPr>
          <w:noProof/>
        </w:rPr>
        <w:t>4</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3</w:t>
      </w:r>
      <w:r w:rsidR="00514311">
        <w:fldChar w:fldCharType="end"/>
      </w:r>
      <w:bookmarkEnd w:id="71"/>
      <w:r w:rsidRPr="00640D01">
        <w:t>. Seasonal Adjustment Factors</w:t>
      </w:r>
      <w:bookmarkEnd w:id="72"/>
    </w:p>
    <w:tbl>
      <w:tblPr>
        <w:tblStyle w:val="TableGrid"/>
        <w:tblW w:w="0" w:type="auto"/>
        <w:jc w:val="center"/>
        <w:tblBorders>
          <w:left w:val="single" w:sz="4" w:space="0" w:color="FFFFFF" w:themeColor="background1"/>
          <w:right w:val="single" w:sz="4" w:space="0" w:color="FFFFFF" w:themeColor="background1"/>
        </w:tblBorders>
        <w:tblCellMar>
          <w:top w:w="29" w:type="dxa"/>
          <w:bottom w:w="29" w:type="dxa"/>
        </w:tblCellMar>
        <w:tblLook w:val="04A0" w:firstRow="1" w:lastRow="0" w:firstColumn="1" w:lastColumn="0" w:noHBand="0" w:noVBand="1"/>
      </w:tblPr>
      <w:tblGrid>
        <w:gridCol w:w="1655"/>
        <w:gridCol w:w="1105"/>
        <w:gridCol w:w="2657"/>
      </w:tblGrid>
      <w:tr w:rsidR="008B58B2" w:rsidRPr="00640D01" w14:paraId="3E37DA7B" w14:textId="77777777" w:rsidTr="0038231B">
        <w:trPr>
          <w:trHeight w:val="317"/>
          <w:jc w:val="center"/>
        </w:trPr>
        <w:tc>
          <w:tcPr>
            <w:tcW w:w="0" w:type="auto"/>
            <w:tcBorders>
              <w:top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BF1FB09" w14:textId="77777777" w:rsidR="008B58B2" w:rsidRPr="00640D01" w:rsidRDefault="008B58B2" w:rsidP="0038231B">
            <w:pPr>
              <w:pStyle w:val="TableHeader"/>
            </w:pPr>
            <w:r w:rsidRPr="00640D01">
              <w:t>Season</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D385B84" w14:textId="77777777" w:rsidR="008B58B2" w:rsidRPr="00640D01" w:rsidRDefault="008B58B2" w:rsidP="0038231B">
            <w:pPr>
              <w:pStyle w:val="TableHeader"/>
            </w:pPr>
            <w:r w:rsidRPr="00640D01">
              <w:t>Counties</w:t>
            </w:r>
          </w:p>
        </w:tc>
        <w:tc>
          <w:tcPr>
            <w:tcW w:w="0" w:type="auto"/>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161BA93A" w14:textId="77777777" w:rsidR="008B58B2" w:rsidRPr="00640D01" w:rsidRDefault="008B58B2" w:rsidP="0038231B">
            <w:pPr>
              <w:pStyle w:val="TableHeader"/>
            </w:pPr>
            <w:r w:rsidRPr="00640D01">
              <w:t>Adjustment Factor</w:t>
            </w:r>
          </w:p>
        </w:tc>
      </w:tr>
      <w:tr w:rsidR="008B58B2" w:rsidRPr="00640D01" w14:paraId="4F782F42" w14:textId="77777777" w:rsidTr="0038231B">
        <w:trPr>
          <w:trHeight w:val="317"/>
          <w:jc w:val="center"/>
        </w:trPr>
        <w:tc>
          <w:tcPr>
            <w:tcW w:w="0" w:type="auto"/>
            <w:tcBorders>
              <w:top w:val="single" w:sz="4" w:space="0" w:color="FFFFFF" w:themeColor="background1"/>
            </w:tcBorders>
            <w:vAlign w:val="center"/>
          </w:tcPr>
          <w:p w14:paraId="7FC5744D" w14:textId="6ED596FD" w:rsidR="008B58B2" w:rsidRPr="00640D01" w:rsidRDefault="008B58B2" w:rsidP="0038231B">
            <w:pPr>
              <w:pStyle w:val="TableText"/>
            </w:pPr>
            <w:r w:rsidRPr="00640D01">
              <w:t xml:space="preserve">Summer </w:t>
            </w:r>
            <w:r w:rsidR="0061265D" w:rsidRPr="00640D01">
              <w:t>weekday</w:t>
            </w:r>
          </w:p>
        </w:tc>
        <w:tc>
          <w:tcPr>
            <w:tcW w:w="0" w:type="auto"/>
            <w:tcBorders>
              <w:top w:val="single" w:sz="4" w:space="0" w:color="FFFFFF" w:themeColor="background1"/>
            </w:tcBorders>
            <w:vAlign w:val="center"/>
          </w:tcPr>
          <w:p w14:paraId="550BA316" w14:textId="3CD4D373" w:rsidR="008B58B2" w:rsidRPr="00640D01" w:rsidRDefault="00BE3FD7" w:rsidP="0038231B">
            <w:pPr>
              <w:pStyle w:val="TableText"/>
              <w:rPr>
                <w:b/>
                <w:bCs/>
                <w:color w:val="7030A0"/>
              </w:rPr>
            </w:pPr>
            <w:r w:rsidRPr="00640D01">
              <w:rPr>
                <w:b/>
                <w:bCs/>
                <w:color w:val="7030A0"/>
              </w:rPr>
              <w:t>[Counties]</w:t>
            </w:r>
          </w:p>
        </w:tc>
        <w:tc>
          <w:tcPr>
            <w:tcW w:w="0" w:type="auto"/>
            <w:tcBorders>
              <w:top w:val="single" w:sz="4" w:space="0" w:color="FFFFFF" w:themeColor="background1"/>
            </w:tcBorders>
            <w:vAlign w:val="center"/>
          </w:tcPr>
          <w:p w14:paraId="3A7C593C" w14:textId="531600C0" w:rsidR="008B58B2" w:rsidRPr="00640D01" w:rsidRDefault="00BE3FD7" w:rsidP="0038231B">
            <w:pPr>
              <w:pStyle w:val="TableText"/>
              <w:rPr>
                <w:b/>
                <w:bCs/>
                <w:color w:val="7030A0"/>
              </w:rPr>
            </w:pPr>
            <w:r w:rsidRPr="00640D01">
              <w:rPr>
                <w:b/>
                <w:bCs/>
                <w:color w:val="7030A0"/>
              </w:rPr>
              <w:t>[Summer adjustment factor]</w:t>
            </w:r>
          </w:p>
        </w:tc>
      </w:tr>
      <w:tr w:rsidR="00BE3FD7" w:rsidRPr="00640D01" w14:paraId="7143C6AF" w14:textId="77777777" w:rsidTr="0038231B">
        <w:trPr>
          <w:trHeight w:val="317"/>
          <w:jc w:val="center"/>
        </w:trPr>
        <w:tc>
          <w:tcPr>
            <w:tcW w:w="0" w:type="auto"/>
            <w:vAlign w:val="center"/>
          </w:tcPr>
          <w:p w14:paraId="50B9D65C" w14:textId="73FA570D" w:rsidR="00BE3FD7" w:rsidRPr="00640D01" w:rsidRDefault="00BE3FD7" w:rsidP="0038231B">
            <w:pPr>
              <w:pStyle w:val="TableText"/>
            </w:pPr>
            <w:r w:rsidRPr="00640D01">
              <w:t xml:space="preserve">Winter </w:t>
            </w:r>
            <w:r w:rsidR="0061265D" w:rsidRPr="00640D01">
              <w:t>weekday</w:t>
            </w:r>
          </w:p>
        </w:tc>
        <w:tc>
          <w:tcPr>
            <w:tcW w:w="0" w:type="auto"/>
            <w:vAlign w:val="center"/>
          </w:tcPr>
          <w:p w14:paraId="04616A08" w14:textId="391C2F01" w:rsidR="00BE3FD7" w:rsidRPr="00640D01" w:rsidRDefault="00BE3FD7" w:rsidP="0038231B">
            <w:pPr>
              <w:pStyle w:val="TableText"/>
              <w:rPr>
                <w:b/>
                <w:bCs/>
                <w:color w:val="7030A0"/>
              </w:rPr>
            </w:pPr>
            <w:r w:rsidRPr="00640D01">
              <w:rPr>
                <w:b/>
                <w:bCs/>
                <w:color w:val="7030A0"/>
              </w:rPr>
              <w:t>[Counties]</w:t>
            </w:r>
          </w:p>
        </w:tc>
        <w:tc>
          <w:tcPr>
            <w:tcW w:w="0" w:type="auto"/>
            <w:vAlign w:val="center"/>
          </w:tcPr>
          <w:p w14:paraId="282D69E2" w14:textId="0C201C9C" w:rsidR="00BE3FD7" w:rsidRPr="00640D01" w:rsidRDefault="00BE3FD7" w:rsidP="0038231B">
            <w:pPr>
              <w:pStyle w:val="TableText"/>
              <w:rPr>
                <w:b/>
                <w:bCs/>
                <w:color w:val="7030A0"/>
              </w:rPr>
            </w:pPr>
            <w:r w:rsidRPr="00640D01">
              <w:rPr>
                <w:b/>
                <w:bCs/>
                <w:color w:val="7030A0"/>
              </w:rPr>
              <w:t>[Winter adjustment factor]</w:t>
            </w:r>
          </w:p>
        </w:tc>
      </w:tr>
    </w:tbl>
    <w:p w14:paraId="75C1BA10" w14:textId="77777777" w:rsidR="00017A79" w:rsidRPr="00640D01" w:rsidRDefault="00017A79" w:rsidP="0038231B">
      <w:pPr>
        <w:pStyle w:val="Heading3"/>
        <w:spacing w:before="240"/>
      </w:pPr>
      <w:bookmarkStart w:id="73" w:name="_Toc190242711"/>
      <w:r w:rsidRPr="00640D01">
        <w:t>Hourly Adjustments</w:t>
      </w:r>
      <w:bookmarkEnd w:id="73"/>
    </w:p>
    <w:p w14:paraId="1E6F9F8E" w14:textId="70DDE273" w:rsidR="00716543" w:rsidRPr="00640D01" w:rsidRDefault="00716543" w:rsidP="0038231B">
      <w:pPr>
        <w:pStyle w:val="BodyText"/>
      </w:pPr>
      <w:bookmarkStart w:id="74" w:name="_Ref152852334"/>
      <w:r w:rsidRPr="00640D01">
        <w:t xml:space="preserve">The hourly factors in </w:t>
      </w:r>
      <w:r w:rsidR="00D727FF" w:rsidRPr="00640D01">
        <w:fldChar w:fldCharType="begin"/>
      </w:r>
      <w:r w:rsidR="00D727FF" w:rsidRPr="00640D01">
        <w:instrText xml:space="preserve"> REF _Ref182303005 \h </w:instrText>
      </w:r>
      <w:r w:rsidR="00D727FF" w:rsidRPr="00640D01">
        <w:fldChar w:fldCharType="separate"/>
      </w:r>
      <w:r w:rsidR="00514311" w:rsidRPr="00640D01">
        <w:t xml:space="preserve">Table </w:t>
      </w:r>
      <w:r w:rsidR="00514311">
        <w:rPr>
          <w:noProof/>
        </w:rPr>
        <w:t>4</w:t>
      </w:r>
      <w:r w:rsidR="00514311">
        <w:noBreakHyphen/>
      </w:r>
      <w:r w:rsidR="00514311">
        <w:rPr>
          <w:noProof/>
        </w:rPr>
        <w:t>4</w:t>
      </w:r>
      <w:r w:rsidR="00D727FF" w:rsidRPr="00640D01">
        <w:fldChar w:fldCharType="end"/>
      </w:r>
      <w:r w:rsidR="00D727FF" w:rsidRPr="00640D01">
        <w:t xml:space="preserve"> </w:t>
      </w:r>
      <w:r w:rsidRPr="00640D01">
        <w:t xml:space="preserve">are used to convert the TDM output into hourly VMT. The hourly factors were calculated using </w:t>
      </w:r>
      <w:r w:rsidRPr="00176A31">
        <w:rPr>
          <w:color w:val="7030A0"/>
        </w:rPr>
        <w:t>[</w:t>
      </w:r>
      <w:r w:rsidRPr="00640D01">
        <w:rPr>
          <w:b/>
          <w:bCs/>
          <w:color w:val="7030A0"/>
        </w:rPr>
        <w:t>ATR data year</w:t>
      </w:r>
      <w:r w:rsidRPr="00176A31">
        <w:rPr>
          <w:color w:val="7030A0"/>
        </w:rPr>
        <w:t>]</w:t>
      </w:r>
      <w:r w:rsidRPr="00640D01">
        <w:rPr>
          <w:color w:val="7030A0"/>
        </w:rPr>
        <w:t xml:space="preserve"> </w:t>
      </w:r>
      <w:r w:rsidRPr="00640D01">
        <w:t>ATR data.</w:t>
      </w:r>
    </w:p>
    <w:p w14:paraId="44C1D4B9" w14:textId="741AB1DB" w:rsidR="00A177CD" w:rsidRPr="00640D01" w:rsidRDefault="00A177CD" w:rsidP="0038231B">
      <w:pPr>
        <w:pStyle w:val="TableCaption"/>
      </w:pPr>
      <w:bookmarkStart w:id="75" w:name="_Ref182303005"/>
      <w:bookmarkStart w:id="76" w:name="_Toc190183120"/>
      <w:r w:rsidRPr="00640D01">
        <w:lastRenderedPageBreak/>
        <w:t xml:space="preserve">Table </w:t>
      </w:r>
      <w:r w:rsidR="00514311">
        <w:fldChar w:fldCharType="begin"/>
      </w:r>
      <w:r w:rsidR="00514311">
        <w:instrText xml:space="preserve"> STYLEREF 1 \s </w:instrText>
      </w:r>
      <w:r w:rsidR="00514311">
        <w:fldChar w:fldCharType="separate"/>
      </w:r>
      <w:r w:rsidR="00514311">
        <w:rPr>
          <w:noProof/>
        </w:rPr>
        <w:t>4</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4</w:t>
      </w:r>
      <w:r w:rsidR="00514311">
        <w:fldChar w:fldCharType="end"/>
      </w:r>
      <w:bookmarkEnd w:id="74"/>
      <w:bookmarkEnd w:id="75"/>
      <w:r w:rsidRPr="00640D01">
        <w:t>. Example of Summer Weekday Hourly VMT Distribution</w:t>
      </w:r>
      <w:bookmarkEnd w:id="76"/>
    </w:p>
    <w:tbl>
      <w:tblPr>
        <w:tblStyle w:val="TableGrid"/>
        <w:tblW w:w="0" w:type="auto"/>
        <w:tblBorders>
          <w:left w:val="single" w:sz="4" w:space="0" w:color="FFFFFF" w:themeColor="background1"/>
          <w:right w:val="single" w:sz="4" w:space="0" w:color="FFFFFF" w:themeColor="background1"/>
        </w:tblBorders>
        <w:tblCellMar>
          <w:top w:w="29" w:type="dxa"/>
          <w:bottom w:w="29" w:type="dxa"/>
        </w:tblCellMar>
        <w:tblLook w:val="04A0" w:firstRow="1" w:lastRow="0" w:firstColumn="1" w:lastColumn="0" w:noHBand="0" w:noVBand="1"/>
      </w:tblPr>
      <w:tblGrid>
        <w:gridCol w:w="3325"/>
        <w:gridCol w:w="2430"/>
        <w:gridCol w:w="1797"/>
        <w:gridCol w:w="1798"/>
      </w:tblGrid>
      <w:tr w:rsidR="004219BC" w:rsidRPr="00640D01" w14:paraId="6922F027" w14:textId="06CFA6F5" w:rsidTr="00176A31">
        <w:trPr>
          <w:trHeight w:val="317"/>
          <w:tblHeader/>
        </w:trPr>
        <w:tc>
          <w:tcPr>
            <w:tcW w:w="3325" w:type="dxa"/>
            <w:tcBorders>
              <w:top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03C1EAD" w14:textId="05ABAA61" w:rsidR="00821A5E" w:rsidRPr="00640D01" w:rsidRDefault="00821A5E" w:rsidP="00176A31">
            <w:pPr>
              <w:pStyle w:val="TableHeader"/>
              <w:keepNext/>
            </w:pPr>
            <w:r w:rsidRPr="00640D01">
              <w:t>Period</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D71ABF0" w14:textId="563FDF63" w:rsidR="00821A5E" w:rsidRPr="00640D01" w:rsidRDefault="00821A5E" w:rsidP="00176A31">
            <w:pPr>
              <w:pStyle w:val="TableHeader"/>
              <w:keepNext/>
            </w:pPr>
            <w:r w:rsidRPr="00640D01">
              <w:t>Hour</w:t>
            </w:r>
          </w:p>
        </w:tc>
        <w:tc>
          <w:tcPr>
            <w:tcW w:w="1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CDDEEE6" w14:textId="1846B79D" w:rsidR="00821A5E" w:rsidRPr="00640D01" w:rsidRDefault="00716543" w:rsidP="00176A31">
            <w:pPr>
              <w:pStyle w:val="TableHeader"/>
              <w:keepNext/>
            </w:pPr>
            <w:r w:rsidRPr="00640D01">
              <w:rPr>
                <w:color w:val="7030A0"/>
              </w:rPr>
              <w:t>[Season</w:t>
            </w:r>
            <w:r w:rsidR="004D5120" w:rsidRPr="00640D01">
              <w:rPr>
                <w:color w:val="7030A0"/>
              </w:rPr>
              <w:t xml:space="preserve">] </w:t>
            </w:r>
            <w:r w:rsidR="00E8522B" w:rsidRPr="00640D01">
              <w:t>24-hour</w:t>
            </w:r>
          </w:p>
        </w:tc>
        <w:tc>
          <w:tcPr>
            <w:tcW w:w="17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6744CB36" w14:textId="6BFEBCED" w:rsidR="00821A5E" w:rsidRPr="00640D01" w:rsidRDefault="004D5120" w:rsidP="00176A31">
            <w:pPr>
              <w:pStyle w:val="TableHeader"/>
              <w:keepNext/>
            </w:pPr>
            <w:r w:rsidRPr="00640D01">
              <w:rPr>
                <w:color w:val="7030A0"/>
              </w:rPr>
              <w:t>[Season]</w:t>
            </w:r>
            <w:r w:rsidRPr="00640D01">
              <w:t xml:space="preserve"> </w:t>
            </w:r>
            <w:r w:rsidR="00821A5E" w:rsidRPr="00640D01">
              <w:t>4-Period</w:t>
            </w:r>
          </w:p>
        </w:tc>
      </w:tr>
      <w:tr w:rsidR="004219BC" w:rsidRPr="00640D01" w14:paraId="242E73D6" w14:textId="148C40B2" w:rsidTr="00176A31">
        <w:trPr>
          <w:trHeight w:val="317"/>
        </w:trPr>
        <w:tc>
          <w:tcPr>
            <w:tcW w:w="3325" w:type="dxa"/>
            <w:tcBorders>
              <w:top w:val="single" w:sz="4" w:space="0" w:color="FFFFFF" w:themeColor="background1"/>
            </w:tcBorders>
            <w:vAlign w:val="center"/>
          </w:tcPr>
          <w:p w14:paraId="7C63F915" w14:textId="605BE447" w:rsidR="00821A5E" w:rsidRPr="00176A31" w:rsidRDefault="00A41450" w:rsidP="00176A31">
            <w:pPr>
              <w:pStyle w:val="TableText"/>
              <w:keepNext/>
              <w:rPr>
                <w:color w:val="7030A0"/>
              </w:rPr>
            </w:pPr>
            <w:r w:rsidRPr="00176A31">
              <w:rPr>
                <w:color w:val="7030A0"/>
              </w:rPr>
              <w:t>[</w:t>
            </w:r>
            <w:r w:rsidRPr="00176A31">
              <w:rPr>
                <w:b/>
                <w:bCs/>
                <w:color w:val="7030A0"/>
              </w:rPr>
              <w:t>Time period</w:t>
            </w:r>
            <w:r w:rsidR="0061265D" w:rsidRPr="00176A31">
              <w:rPr>
                <w:color w:val="7030A0"/>
              </w:rPr>
              <w:t xml:space="preserve"> (e</w:t>
            </w:r>
            <w:r w:rsidR="004219BC" w:rsidRPr="00176A31">
              <w:rPr>
                <w:color w:val="7030A0"/>
              </w:rPr>
              <w:t>.g.</w:t>
            </w:r>
            <w:r w:rsidR="0061265D" w:rsidRPr="00176A31">
              <w:rPr>
                <w:color w:val="7030A0"/>
              </w:rPr>
              <w:t>, o</w:t>
            </w:r>
            <w:r w:rsidR="00821A5E" w:rsidRPr="00176A31">
              <w:rPr>
                <w:color w:val="7030A0"/>
              </w:rPr>
              <w:t>vernight</w:t>
            </w:r>
            <w:r w:rsidR="0061265D" w:rsidRPr="00176A31">
              <w:rPr>
                <w:color w:val="7030A0"/>
              </w:rPr>
              <w:t>)</w:t>
            </w:r>
            <w:r w:rsidR="004219BC" w:rsidRPr="00176A31">
              <w:rPr>
                <w:color w:val="7030A0"/>
              </w:rPr>
              <w:t>]</w:t>
            </w:r>
          </w:p>
        </w:tc>
        <w:tc>
          <w:tcPr>
            <w:tcW w:w="2430" w:type="dxa"/>
            <w:tcBorders>
              <w:top w:val="single" w:sz="4" w:space="0" w:color="FFFFFF" w:themeColor="background1"/>
            </w:tcBorders>
            <w:vAlign w:val="center"/>
          </w:tcPr>
          <w:p w14:paraId="22579091" w14:textId="40514F89" w:rsidR="00821A5E" w:rsidRPr="00640D01" w:rsidRDefault="00821A5E" w:rsidP="00176A31">
            <w:pPr>
              <w:pStyle w:val="TableText"/>
              <w:keepNext/>
            </w:pPr>
            <w:r w:rsidRPr="00640D01">
              <w:t>12:00 a</w:t>
            </w:r>
            <w:r w:rsidR="0061265D" w:rsidRPr="00640D01">
              <w:t>.</w:t>
            </w:r>
            <w:r w:rsidRPr="00640D01">
              <w:t>m</w:t>
            </w:r>
            <w:r w:rsidR="0061265D" w:rsidRPr="00640D01">
              <w:t>.</w:t>
            </w:r>
            <w:r w:rsidRPr="00640D01">
              <w:t xml:space="preserve"> to </w:t>
            </w:r>
            <w:r w:rsidR="0080493F" w:rsidRPr="00640D01">
              <w:t>0</w:t>
            </w:r>
            <w:r w:rsidRPr="00640D01">
              <w:t xml:space="preserve">1:00 </w:t>
            </w:r>
            <w:r w:rsidR="0061265D" w:rsidRPr="00640D01">
              <w:t>a.m.</w:t>
            </w:r>
          </w:p>
        </w:tc>
        <w:tc>
          <w:tcPr>
            <w:tcW w:w="1797" w:type="dxa"/>
            <w:tcBorders>
              <w:top w:val="single" w:sz="4" w:space="0" w:color="FFFFFF" w:themeColor="background1"/>
            </w:tcBorders>
            <w:vAlign w:val="center"/>
          </w:tcPr>
          <w:p w14:paraId="1451E0EC" w14:textId="77777777" w:rsidR="00821A5E" w:rsidRPr="00640D01" w:rsidRDefault="00821A5E" w:rsidP="00176A31">
            <w:pPr>
              <w:pStyle w:val="TableText"/>
              <w:keepNext/>
            </w:pPr>
          </w:p>
        </w:tc>
        <w:tc>
          <w:tcPr>
            <w:tcW w:w="1798" w:type="dxa"/>
            <w:tcBorders>
              <w:top w:val="single" w:sz="4" w:space="0" w:color="FFFFFF" w:themeColor="background1"/>
            </w:tcBorders>
            <w:vAlign w:val="center"/>
          </w:tcPr>
          <w:p w14:paraId="639ABA5D" w14:textId="77777777" w:rsidR="00821A5E" w:rsidRPr="00640D01" w:rsidRDefault="00821A5E" w:rsidP="00176A31">
            <w:pPr>
              <w:pStyle w:val="TableText"/>
              <w:keepNext/>
            </w:pPr>
          </w:p>
        </w:tc>
      </w:tr>
      <w:tr w:rsidR="0061265D" w:rsidRPr="00640D01" w14:paraId="3370C80A" w14:textId="45502346" w:rsidTr="00176A31">
        <w:trPr>
          <w:trHeight w:val="317"/>
        </w:trPr>
        <w:tc>
          <w:tcPr>
            <w:tcW w:w="3325" w:type="dxa"/>
            <w:vAlign w:val="center"/>
          </w:tcPr>
          <w:p w14:paraId="1421E999" w14:textId="611CAA21"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overnight)]</w:t>
            </w:r>
          </w:p>
        </w:tc>
        <w:tc>
          <w:tcPr>
            <w:tcW w:w="2430" w:type="dxa"/>
            <w:vAlign w:val="center"/>
          </w:tcPr>
          <w:p w14:paraId="740B6141" w14:textId="5638939F" w:rsidR="0061265D" w:rsidRPr="00640D01" w:rsidRDefault="0061265D" w:rsidP="006F61F5">
            <w:pPr>
              <w:pStyle w:val="TableText"/>
            </w:pPr>
            <w:r w:rsidRPr="00640D01">
              <w:t>01:00 a.m. to 02:00 a.m.</w:t>
            </w:r>
          </w:p>
        </w:tc>
        <w:tc>
          <w:tcPr>
            <w:tcW w:w="1797" w:type="dxa"/>
            <w:vAlign w:val="center"/>
          </w:tcPr>
          <w:p w14:paraId="739EF02C" w14:textId="77777777" w:rsidR="0061265D" w:rsidRPr="00640D01" w:rsidRDefault="0061265D" w:rsidP="006F61F5">
            <w:pPr>
              <w:pStyle w:val="TableText"/>
            </w:pPr>
          </w:p>
        </w:tc>
        <w:tc>
          <w:tcPr>
            <w:tcW w:w="1798" w:type="dxa"/>
            <w:vAlign w:val="center"/>
          </w:tcPr>
          <w:p w14:paraId="2E65FB3D" w14:textId="77777777" w:rsidR="0061265D" w:rsidRPr="00640D01" w:rsidRDefault="0061265D" w:rsidP="006F61F5">
            <w:pPr>
              <w:pStyle w:val="TableText"/>
            </w:pPr>
          </w:p>
        </w:tc>
      </w:tr>
      <w:tr w:rsidR="0061265D" w:rsidRPr="00640D01" w14:paraId="333386D9" w14:textId="3278D772" w:rsidTr="00176A31">
        <w:trPr>
          <w:trHeight w:val="317"/>
        </w:trPr>
        <w:tc>
          <w:tcPr>
            <w:tcW w:w="3325" w:type="dxa"/>
            <w:vAlign w:val="center"/>
          </w:tcPr>
          <w:p w14:paraId="7532B5C9" w14:textId="53842E9A"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overnight)]</w:t>
            </w:r>
          </w:p>
        </w:tc>
        <w:tc>
          <w:tcPr>
            <w:tcW w:w="2430" w:type="dxa"/>
            <w:vAlign w:val="center"/>
          </w:tcPr>
          <w:p w14:paraId="3574D38F" w14:textId="4615F3D9" w:rsidR="0061265D" w:rsidRPr="00640D01" w:rsidRDefault="0061265D" w:rsidP="006F61F5">
            <w:pPr>
              <w:pStyle w:val="TableText"/>
            </w:pPr>
            <w:r w:rsidRPr="00640D01">
              <w:t>02:00 a.m. to 03:00 a.m.</w:t>
            </w:r>
          </w:p>
        </w:tc>
        <w:tc>
          <w:tcPr>
            <w:tcW w:w="1797" w:type="dxa"/>
            <w:vAlign w:val="center"/>
          </w:tcPr>
          <w:p w14:paraId="5DE4F262" w14:textId="77777777" w:rsidR="0061265D" w:rsidRPr="00640D01" w:rsidRDefault="0061265D" w:rsidP="006F61F5">
            <w:pPr>
              <w:pStyle w:val="TableText"/>
            </w:pPr>
          </w:p>
        </w:tc>
        <w:tc>
          <w:tcPr>
            <w:tcW w:w="1798" w:type="dxa"/>
            <w:vAlign w:val="center"/>
          </w:tcPr>
          <w:p w14:paraId="60EE084E" w14:textId="77777777" w:rsidR="0061265D" w:rsidRPr="00640D01" w:rsidRDefault="0061265D" w:rsidP="006F61F5">
            <w:pPr>
              <w:pStyle w:val="TableText"/>
            </w:pPr>
          </w:p>
        </w:tc>
      </w:tr>
      <w:tr w:rsidR="0061265D" w:rsidRPr="00640D01" w14:paraId="317D1CF1" w14:textId="5CA91199" w:rsidTr="00176A31">
        <w:trPr>
          <w:trHeight w:val="317"/>
        </w:trPr>
        <w:tc>
          <w:tcPr>
            <w:tcW w:w="3325" w:type="dxa"/>
            <w:vAlign w:val="center"/>
          </w:tcPr>
          <w:p w14:paraId="0FD26049" w14:textId="5338A8F8"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overnight)]</w:t>
            </w:r>
          </w:p>
        </w:tc>
        <w:tc>
          <w:tcPr>
            <w:tcW w:w="2430" w:type="dxa"/>
            <w:vAlign w:val="center"/>
          </w:tcPr>
          <w:p w14:paraId="14C49070" w14:textId="6B0CD01C" w:rsidR="0061265D" w:rsidRPr="00640D01" w:rsidRDefault="0061265D" w:rsidP="006F61F5">
            <w:pPr>
              <w:pStyle w:val="TableText"/>
            </w:pPr>
            <w:r w:rsidRPr="00640D01">
              <w:t>03:00 a.m. to 04:00 a.m.</w:t>
            </w:r>
          </w:p>
        </w:tc>
        <w:tc>
          <w:tcPr>
            <w:tcW w:w="1797" w:type="dxa"/>
            <w:vAlign w:val="center"/>
          </w:tcPr>
          <w:p w14:paraId="53E5C9D7" w14:textId="77777777" w:rsidR="0061265D" w:rsidRPr="00640D01" w:rsidRDefault="0061265D" w:rsidP="006F61F5">
            <w:pPr>
              <w:pStyle w:val="TableText"/>
            </w:pPr>
          </w:p>
        </w:tc>
        <w:tc>
          <w:tcPr>
            <w:tcW w:w="1798" w:type="dxa"/>
            <w:vAlign w:val="center"/>
          </w:tcPr>
          <w:p w14:paraId="5D14F52B" w14:textId="77777777" w:rsidR="0061265D" w:rsidRPr="00640D01" w:rsidRDefault="0061265D" w:rsidP="006F61F5">
            <w:pPr>
              <w:pStyle w:val="TableText"/>
            </w:pPr>
          </w:p>
        </w:tc>
      </w:tr>
      <w:tr w:rsidR="0061265D" w:rsidRPr="00640D01" w14:paraId="0550A160" w14:textId="2C8983BD" w:rsidTr="00176A31">
        <w:trPr>
          <w:trHeight w:val="317"/>
        </w:trPr>
        <w:tc>
          <w:tcPr>
            <w:tcW w:w="3325" w:type="dxa"/>
            <w:vAlign w:val="center"/>
          </w:tcPr>
          <w:p w14:paraId="0AC56C91" w14:textId="6598A0E1"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overnight)]</w:t>
            </w:r>
          </w:p>
        </w:tc>
        <w:tc>
          <w:tcPr>
            <w:tcW w:w="2430" w:type="dxa"/>
            <w:vAlign w:val="center"/>
          </w:tcPr>
          <w:p w14:paraId="52E2A98D" w14:textId="3AF3251F" w:rsidR="0061265D" w:rsidRPr="00640D01" w:rsidRDefault="0061265D" w:rsidP="006F61F5">
            <w:pPr>
              <w:pStyle w:val="TableText"/>
            </w:pPr>
            <w:r w:rsidRPr="00640D01">
              <w:t>04:00 a.m. to 05:00 a.m.</w:t>
            </w:r>
          </w:p>
        </w:tc>
        <w:tc>
          <w:tcPr>
            <w:tcW w:w="1797" w:type="dxa"/>
            <w:vAlign w:val="center"/>
          </w:tcPr>
          <w:p w14:paraId="5C8F6CDF" w14:textId="77777777" w:rsidR="0061265D" w:rsidRPr="00640D01" w:rsidRDefault="0061265D" w:rsidP="006F61F5">
            <w:pPr>
              <w:pStyle w:val="TableText"/>
            </w:pPr>
          </w:p>
        </w:tc>
        <w:tc>
          <w:tcPr>
            <w:tcW w:w="1798" w:type="dxa"/>
            <w:vAlign w:val="center"/>
          </w:tcPr>
          <w:p w14:paraId="328FB890" w14:textId="77777777" w:rsidR="0061265D" w:rsidRPr="00640D01" w:rsidRDefault="0061265D" w:rsidP="006F61F5">
            <w:pPr>
              <w:pStyle w:val="TableText"/>
            </w:pPr>
          </w:p>
        </w:tc>
      </w:tr>
      <w:tr w:rsidR="0061265D" w:rsidRPr="00640D01" w14:paraId="658A49DE" w14:textId="64B24F7F" w:rsidTr="00176A31">
        <w:trPr>
          <w:trHeight w:val="317"/>
        </w:trPr>
        <w:tc>
          <w:tcPr>
            <w:tcW w:w="3325" w:type="dxa"/>
            <w:vAlign w:val="center"/>
          </w:tcPr>
          <w:p w14:paraId="2A9F4789" w14:textId="1CE3FCD7"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overnight)]</w:t>
            </w:r>
          </w:p>
        </w:tc>
        <w:tc>
          <w:tcPr>
            <w:tcW w:w="2430" w:type="dxa"/>
            <w:vAlign w:val="center"/>
          </w:tcPr>
          <w:p w14:paraId="3B88214C" w14:textId="2D3794B4" w:rsidR="0061265D" w:rsidRPr="00640D01" w:rsidRDefault="0061265D" w:rsidP="006F61F5">
            <w:pPr>
              <w:pStyle w:val="TableText"/>
            </w:pPr>
            <w:r w:rsidRPr="00640D01">
              <w:t>05:00 a.m. to 06:00 a.m.</w:t>
            </w:r>
          </w:p>
        </w:tc>
        <w:tc>
          <w:tcPr>
            <w:tcW w:w="1797" w:type="dxa"/>
            <w:vAlign w:val="center"/>
          </w:tcPr>
          <w:p w14:paraId="707221DF" w14:textId="77777777" w:rsidR="0061265D" w:rsidRPr="00640D01" w:rsidRDefault="0061265D" w:rsidP="006F61F5">
            <w:pPr>
              <w:pStyle w:val="TableText"/>
            </w:pPr>
          </w:p>
        </w:tc>
        <w:tc>
          <w:tcPr>
            <w:tcW w:w="1798" w:type="dxa"/>
            <w:vAlign w:val="center"/>
          </w:tcPr>
          <w:p w14:paraId="27A09654" w14:textId="77777777" w:rsidR="0061265D" w:rsidRPr="00640D01" w:rsidRDefault="0061265D" w:rsidP="006F61F5">
            <w:pPr>
              <w:pStyle w:val="TableText"/>
            </w:pPr>
          </w:p>
        </w:tc>
      </w:tr>
      <w:tr w:rsidR="004219BC" w:rsidRPr="00640D01" w14:paraId="5AA88F5A" w14:textId="4E1F1822" w:rsidTr="00176A31">
        <w:trPr>
          <w:trHeight w:val="317"/>
        </w:trPr>
        <w:tc>
          <w:tcPr>
            <w:tcW w:w="3325" w:type="dxa"/>
            <w:vAlign w:val="center"/>
          </w:tcPr>
          <w:p w14:paraId="1609E996" w14:textId="4E8F2D0F" w:rsidR="00821A5E" w:rsidRPr="00176A31" w:rsidRDefault="004219BC" w:rsidP="006F61F5">
            <w:pPr>
              <w:pStyle w:val="TableText"/>
              <w:rPr>
                <w:color w:val="7030A0"/>
              </w:rPr>
            </w:pPr>
            <w:r w:rsidRPr="00176A31">
              <w:rPr>
                <w:color w:val="7030A0"/>
              </w:rPr>
              <w:t>[</w:t>
            </w:r>
            <w:r w:rsidRPr="00176A31">
              <w:rPr>
                <w:b/>
                <w:bCs/>
                <w:color w:val="7030A0"/>
              </w:rPr>
              <w:t>Time period</w:t>
            </w:r>
            <w:r w:rsidR="0061265D" w:rsidRPr="00176A31">
              <w:rPr>
                <w:color w:val="7030A0"/>
              </w:rPr>
              <w:t xml:space="preserve"> (e</w:t>
            </w:r>
            <w:r w:rsidRPr="00176A31">
              <w:rPr>
                <w:color w:val="7030A0"/>
              </w:rPr>
              <w:t>.g.</w:t>
            </w:r>
            <w:r w:rsidR="0061265D" w:rsidRPr="00176A31">
              <w:rPr>
                <w:color w:val="7030A0"/>
              </w:rPr>
              <w:t>,</w:t>
            </w:r>
            <w:r w:rsidRPr="00176A31">
              <w:rPr>
                <w:color w:val="7030A0"/>
              </w:rPr>
              <w:t xml:space="preserve"> AM </w:t>
            </w:r>
            <w:r w:rsidR="0061265D" w:rsidRPr="00176A31">
              <w:rPr>
                <w:color w:val="7030A0"/>
              </w:rPr>
              <w:t>peak)</w:t>
            </w:r>
            <w:r w:rsidRPr="00176A31">
              <w:rPr>
                <w:color w:val="7030A0"/>
              </w:rPr>
              <w:t>]</w:t>
            </w:r>
          </w:p>
        </w:tc>
        <w:tc>
          <w:tcPr>
            <w:tcW w:w="2430" w:type="dxa"/>
            <w:vAlign w:val="center"/>
          </w:tcPr>
          <w:p w14:paraId="1552E4F4" w14:textId="25C491D6" w:rsidR="00821A5E" w:rsidRPr="00640D01" w:rsidRDefault="0080493F" w:rsidP="006F61F5">
            <w:pPr>
              <w:pStyle w:val="TableText"/>
            </w:pPr>
            <w:r w:rsidRPr="00640D01">
              <w:t>0</w:t>
            </w:r>
            <w:r w:rsidR="00821A5E" w:rsidRPr="00640D01">
              <w:t xml:space="preserve">6:00 </w:t>
            </w:r>
            <w:r w:rsidR="0061265D" w:rsidRPr="00640D01">
              <w:t>a.m.</w:t>
            </w:r>
            <w:r w:rsidR="00821A5E" w:rsidRPr="00640D01">
              <w:t xml:space="preserve"> to </w:t>
            </w:r>
            <w:r w:rsidRPr="00640D01">
              <w:t>0</w:t>
            </w:r>
            <w:r w:rsidR="00821A5E" w:rsidRPr="00640D01">
              <w:t xml:space="preserve">7:00 </w:t>
            </w:r>
            <w:r w:rsidR="0061265D" w:rsidRPr="00640D01">
              <w:t>a.m.</w:t>
            </w:r>
          </w:p>
        </w:tc>
        <w:tc>
          <w:tcPr>
            <w:tcW w:w="1797" w:type="dxa"/>
            <w:vAlign w:val="center"/>
          </w:tcPr>
          <w:p w14:paraId="282626BB" w14:textId="77777777" w:rsidR="00821A5E" w:rsidRPr="00640D01" w:rsidRDefault="00821A5E" w:rsidP="006F61F5">
            <w:pPr>
              <w:pStyle w:val="TableText"/>
            </w:pPr>
          </w:p>
        </w:tc>
        <w:tc>
          <w:tcPr>
            <w:tcW w:w="1798" w:type="dxa"/>
            <w:vAlign w:val="center"/>
          </w:tcPr>
          <w:p w14:paraId="19EDA972" w14:textId="77777777" w:rsidR="00821A5E" w:rsidRPr="00640D01" w:rsidRDefault="00821A5E" w:rsidP="006F61F5">
            <w:pPr>
              <w:pStyle w:val="TableText"/>
            </w:pPr>
          </w:p>
        </w:tc>
      </w:tr>
      <w:tr w:rsidR="0061265D" w:rsidRPr="00640D01" w14:paraId="51C16827" w14:textId="762FB487" w:rsidTr="00176A31">
        <w:trPr>
          <w:trHeight w:val="317"/>
        </w:trPr>
        <w:tc>
          <w:tcPr>
            <w:tcW w:w="3325" w:type="dxa"/>
            <w:vAlign w:val="center"/>
          </w:tcPr>
          <w:p w14:paraId="07D6357D" w14:textId="011B9151"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AM peak)]</w:t>
            </w:r>
          </w:p>
        </w:tc>
        <w:tc>
          <w:tcPr>
            <w:tcW w:w="2430" w:type="dxa"/>
            <w:vAlign w:val="center"/>
          </w:tcPr>
          <w:p w14:paraId="3FCEB1E9" w14:textId="0BA23B79" w:rsidR="0061265D" w:rsidRPr="00640D01" w:rsidRDefault="0061265D" w:rsidP="006F61F5">
            <w:pPr>
              <w:pStyle w:val="TableText"/>
            </w:pPr>
            <w:r w:rsidRPr="00640D01">
              <w:t>07:00 a.m. to 08:00 a.m.</w:t>
            </w:r>
          </w:p>
        </w:tc>
        <w:tc>
          <w:tcPr>
            <w:tcW w:w="1797" w:type="dxa"/>
            <w:vAlign w:val="center"/>
          </w:tcPr>
          <w:p w14:paraId="778C05A4" w14:textId="77777777" w:rsidR="0061265D" w:rsidRPr="00640D01" w:rsidRDefault="0061265D" w:rsidP="006F61F5">
            <w:pPr>
              <w:pStyle w:val="TableText"/>
            </w:pPr>
          </w:p>
        </w:tc>
        <w:tc>
          <w:tcPr>
            <w:tcW w:w="1798" w:type="dxa"/>
            <w:vAlign w:val="center"/>
          </w:tcPr>
          <w:p w14:paraId="1F2D8E04" w14:textId="77777777" w:rsidR="0061265D" w:rsidRPr="00640D01" w:rsidRDefault="0061265D" w:rsidP="006F61F5">
            <w:pPr>
              <w:pStyle w:val="TableText"/>
            </w:pPr>
          </w:p>
        </w:tc>
      </w:tr>
      <w:tr w:rsidR="0061265D" w:rsidRPr="00640D01" w14:paraId="0246804E" w14:textId="431DEB16" w:rsidTr="00176A31">
        <w:trPr>
          <w:trHeight w:val="317"/>
        </w:trPr>
        <w:tc>
          <w:tcPr>
            <w:tcW w:w="3325" w:type="dxa"/>
            <w:vAlign w:val="center"/>
          </w:tcPr>
          <w:p w14:paraId="6442BCED" w14:textId="69D04657"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AM peak)]</w:t>
            </w:r>
          </w:p>
        </w:tc>
        <w:tc>
          <w:tcPr>
            <w:tcW w:w="2430" w:type="dxa"/>
            <w:vAlign w:val="center"/>
          </w:tcPr>
          <w:p w14:paraId="6F56CEF3" w14:textId="62B4C733" w:rsidR="0061265D" w:rsidRPr="00640D01" w:rsidRDefault="0061265D" w:rsidP="006F61F5">
            <w:pPr>
              <w:pStyle w:val="TableText"/>
            </w:pPr>
            <w:r w:rsidRPr="00640D01">
              <w:t>08:00 a.m. to 09:00 a.m.</w:t>
            </w:r>
          </w:p>
        </w:tc>
        <w:tc>
          <w:tcPr>
            <w:tcW w:w="1797" w:type="dxa"/>
            <w:vAlign w:val="center"/>
          </w:tcPr>
          <w:p w14:paraId="704E2DF8" w14:textId="77777777" w:rsidR="0061265D" w:rsidRPr="00640D01" w:rsidRDefault="0061265D" w:rsidP="006F61F5">
            <w:pPr>
              <w:pStyle w:val="TableText"/>
            </w:pPr>
          </w:p>
        </w:tc>
        <w:tc>
          <w:tcPr>
            <w:tcW w:w="1798" w:type="dxa"/>
            <w:vAlign w:val="center"/>
          </w:tcPr>
          <w:p w14:paraId="6DD07B8A" w14:textId="77777777" w:rsidR="0061265D" w:rsidRPr="00640D01" w:rsidRDefault="0061265D" w:rsidP="006F61F5">
            <w:pPr>
              <w:pStyle w:val="TableText"/>
            </w:pPr>
          </w:p>
        </w:tc>
      </w:tr>
      <w:tr w:rsidR="004219BC" w:rsidRPr="00640D01" w14:paraId="1388E7B4" w14:textId="41A4226F" w:rsidTr="00176A31">
        <w:trPr>
          <w:trHeight w:val="317"/>
        </w:trPr>
        <w:tc>
          <w:tcPr>
            <w:tcW w:w="3325" w:type="dxa"/>
            <w:vAlign w:val="center"/>
          </w:tcPr>
          <w:p w14:paraId="251E91C4" w14:textId="48F5298F" w:rsidR="00821A5E" w:rsidRPr="00176A31" w:rsidRDefault="004219BC" w:rsidP="006F61F5">
            <w:pPr>
              <w:pStyle w:val="TableText"/>
              <w:rPr>
                <w:color w:val="7030A0"/>
              </w:rPr>
            </w:pPr>
            <w:r w:rsidRPr="00176A31">
              <w:rPr>
                <w:color w:val="7030A0"/>
              </w:rPr>
              <w:t>[</w:t>
            </w:r>
            <w:r w:rsidRPr="00176A31">
              <w:rPr>
                <w:b/>
                <w:bCs/>
                <w:color w:val="7030A0"/>
              </w:rPr>
              <w:t>Time period</w:t>
            </w:r>
            <w:r w:rsidR="0061265D" w:rsidRPr="00176A31">
              <w:rPr>
                <w:color w:val="7030A0"/>
              </w:rPr>
              <w:t xml:space="preserve"> (e</w:t>
            </w:r>
            <w:r w:rsidRPr="00176A31">
              <w:rPr>
                <w:color w:val="7030A0"/>
              </w:rPr>
              <w:t>.g.</w:t>
            </w:r>
            <w:r w:rsidR="0061265D" w:rsidRPr="00176A31">
              <w:rPr>
                <w:color w:val="7030A0"/>
              </w:rPr>
              <w:t>,</w:t>
            </w:r>
            <w:r w:rsidRPr="00176A31">
              <w:rPr>
                <w:color w:val="7030A0"/>
              </w:rPr>
              <w:t xml:space="preserve"> </w:t>
            </w:r>
            <w:r w:rsidR="000371CC" w:rsidRPr="00640D01">
              <w:rPr>
                <w:color w:val="7030A0"/>
              </w:rPr>
              <w:t>m</w:t>
            </w:r>
            <w:r w:rsidRPr="00176A31">
              <w:rPr>
                <w:color w:val="7030A0"/>
              </w:rPr>
              <w:t>id</w:t>
            </w:r>
            <w:r w:rsidR="0061265D" w:rsidRPr="00176A31">
              <w:rPr>
                <w:color w:val="7030A0"/>
              </w:rPr>
              <w:t>d</w:t>
            </w:r>
            <w:r w:rsidRPr="00176A31">
              <w:rPr>
                <w:color w:val="7030A0"/>
              </w:rPr>
              <w:t>ay</w:t>
            </w:r>
            <w:r w:rsidR="0061265D" w:rsidRPr="00176A31">
              <w:rPr>
                <w:color w:val="7030A0"/>
              </w:rPr>
              <w:t>)</w:t>
            </w:r>
            <w:r w:rsidRPr="00176A31">
              <w:rPr>
                <w:color w:val="7030A0"/>
              </w:rPr>
              <w:t>]</w:t>
            </w:r>
          </w:p>
        </w:tc>
        <w:tc>
          <w:tcPr>
            <w:tcW w:w="2430" w:type="dxa"/>
            <w:vAlign w:val="center"/>
          </w:tcPr>
          <w:p w14:paraId="20CAC873" w14:textId="6EC53234" w:rsidR="00821A5E" w:rsidRPr="00640D01" w:rsidRDefault="0080493F" w:rsidP="006F61F5">
            <w:pPr>
              <w:pStyle w:val="TableText"/>
            </w:pPr>
            <w:r w:rsidRPr="00640D01">
              <w:t>0</w:t>
            </w:r>
            <w:r w:rsidR="00821A5E" w:rsidRPr="00640D01">
              <w:t xml:space="preserve">9:00 </w:t>
            </w:r>
            <w:r w:rsidR="0061265D" w:rsidRPr="00640D01">
              <w:t>a.m.</w:t>
            </w:r>
            <w:r w:rsidR="00821A5E" w:rsidRPr="00640D01">
              <w:t xml:space="preserve"> to 10:00 </w:t>
            </w:r>
            <w:r w:rsidR="0061265D" w:rsidRPr="00640D01">
              <w:t>a.m.</w:t>
            </w:r>
          </w:p>
        </w:tc>
        <w:tc>
          <w:tcPr>
            <w:tcW w:w="1797" w:type="dxa"/>
            <w:vAlign w:val="center"/>
          </w:tcPr>
          <w:p w14:paraId="1E7898C1" w14:textId="77777777" w:rsidR="00821A5E" w:rsidRPr="00640D01" w:rsidRDefault="00821A5E" w:rsidP="006F61F5">
            <w:pPr>
              <w:pStyle w:val="TableText"/>
            </w:pPr>
          </w:p>
        </w:tc>
        <w:tc>
          <w:tcPr>
            <w:tcW w:w="1798" w:type="dxa"/>
            <w:vAlign w:val="center"/>
          </w:tcPr>
          <w:p w14:paraId="50C9D57D" w14:textId="77777777" w:rsidR="00821A5E" w:rsidRPr="00640D01" w:rsidRDefault="00821A5E" w:rsidP="006F61F5">
            <w:pPr>
              <w:pStyle w:val="TableText"/>
            </w:pPr>
          </w:p>
        </w:tc>
      </w:tr>
      <w:tr w:rsidR="0061265D" w:rsidRPr="00640D01" w14:paraId="5FD8897A" w14:textId="785E6898" w:rsidTr="00176A31">
        <w:trPr>
          <w:trHeight w:val="317"/>
        </w:trPr>
        <w:tc>
          <w:tcPr>
            <w:tcW w:w="3325" w:type="dxa"/>
            <w:vAlign w:val="center"/>
          </w:tcPr>
          <w:p w14:paraId="5F854E5E" w14:textId="1E23E9B5"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w:t>
            </w:r>
            <w:r w:rsidR="000371CC" w:rsidRPr="00640D01">
              <w:rPr>
                <w:color w:val="7030A0"/>
              </w:rPr>
              <w:t>m</w:t>
            </w:r>
            <w:r w:rsidRPr="00176A31">
              <w:rPr>
                <w:color w:val="7030A0"/>
              </w:rPr>
              <w:t>idday)]</w:t>
            </w:r>
          </w:p>
        </w:tc>
        <w:tc>
          <w:tcPr>
            <w:tcW w:w="2430" w:type="dxa"/>
            <w:vAlign w:val="center"/>
          </w:tcPr>
          <w:p w14:paraId="181C525A" w14:textId="54E9FB25" w:rsidR="0061265D" w:rsidRPr="00640D01" w:rsidRDefault="0061265D" w:rsidP="006F61F5">
            <w:pPr>
              <w:pStyle w:val="TableText"/>
            </w:pPr>
            <w:r w:rsidRPr="00640D01">
              <w:t>10:00 a.m. to 11:00 a.m.</w:t>
            </w:r>
          </w:p>
        </w:tc>
        <w:tc>
          <w:tcPr>
            <w:tcW w:w="1797" w:type="dxa"/>
            <w:vAlign w:val="center"/>
          </w:tcPr>
          <w:p w14:paraId="1190173F" w14:textId="77777777" w:rsidR="0061265D" w:rsidRPr="00640D01" w:rsidRDefault="0061265D" w:rsidP="006F61F5">
            <w:pPr>
              <w:pStyle w:val="TableText"/>
            </w:pPr>
          </w:p>
        </w:tc>
        <w:tc>
          <w:tcPr>
            <w:tcW w:w="1798" w:type="dxa"/>
            <w:vAlign w:val="center"/>
          </w:tcPr>
          <w:p w14:paraId="58DF7AAB" w14:textId="77777777" w:rsidR="0061265D" w:rsidRPr="00640D01" w:rsidRDefault="0061265D" w:rsidP="006F61F5">
            <w:pPr>
              <w:pStyle w:val="TableText"/>
            </w:pPr>
          </w:p>
        </w:tc>
      </w:tr>
      <w:tr w:rsidR="0061265D" w:rsidRPr="00640D01" w14:paraId="193EF250" w14:textId="1BC006DF" w:rsidTr="00176A31">
        <w:trPr>
          <w:trHeight w:val="317"/>
        </w:trPr>
        <w:tc>
          <w:tcPr>
            <w:tcW w:w="3325" w:type="dxa"/>
            <w:vAlign w:val="center"/>
          </w:tcPr>
          <w:p w14:paraId="062D91BA" w14:textId="2F54A657"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w:t>
            </w:r>
            <w:r w:rsidR="000371CC" w:rsidRPr="00640D01">
              <w:rPr>
                <w:color w:val="7030A0"/>
              </w:rPr>
              <w:t>m</w:t>
            </w:r>
            <w:r w:rsidRPr="00176A31">
              <w:rPr>
                <w:color w:val="7030A0"/>
              </w:rPr>
              <w:t>idday)]</w:t>
            </w:r>
          </w:p>
        </w:tc>
        <w:tc>
          <w:tcPr>
            <w:tcW w:w="2430" w:type="dxa"/>
            <w:vAlign w:val="center"/>
          </w:tcPr>
          <w:p w14:paraId="1D3C3BED" w14:textId="4AB7D10E" w:rsidR="0061265D" w:rsidRPr="00640D01" w:rsidRDefault="0061265D" w:rsidP="006F61F5">
            <w:pPr>
              <w:pStyle w:val="TableText"/>
            </w:pPr>
            <w:r w:rsidRPr="00640D01">
              <w:t>11:00 a.m. to 12:00 p.m.</w:t>
            </w:r>
          </w:p>
        </w:tc>
        <w:tc>
          <w:tcPr>
            <w:tcW w:w="1797" w:type="dxa"/>
            <w:vAlign w:val="center"/>
          </w:tcPr>
          <w:p w14:paraId="2AD3C525" w14:textId="77777777" w:rsidR="0061265D" w:rsidRPr="00640D01" w:rsidRDefault="0061265D" w:rsidP="006F61F5">
            <w:pPr>
              <w:pStyle w:val="TableText"/>
            </w:pPr>
          </w:p>
        </w:tc>
        <w:tc>
          <w:tcPr>
            <w:tcW w:w="1798" w:type="dxa"/>
            <w:vAlign w:val="center"/>
          </w:tcPr>
          <w:p w14:paraId="30D44F30" w14:textId="77777777" w:rsidR="0061265D" w:rsidRPr="00640D01" w:rsidRDefault="0061265D" w:rsidP="006F61F5">
            <w:pPr>
              <w:pStyle w:val="TableText"/>
            </w:pPr>
          </w:p>
        </w:tc>
      </w:tr>
      <w:tr w:rsidR="0061265D" w:rsidRPr="00640D01" w14:paraId="5478927A" w14:textId="03D6A958" w:rsidTr="00176A31">
        <w:trPr>
          <w:trHeight w:val="317"/>
        </w:trPr>
        <w:tc>
          <w:tcPr>
            <w:tcW w:w="3325" w:type="dxa"/>
            <w:vAlign w:val="center"/>
          </w:tcPr>
          <w:p w14:paraId="6A026ABA" w14:textId="08DBE1E0"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w:t>
            </w:r>
            <w:r w:rsidR="000371CC" w:rsidRPr="00640D01">
              <w:rPr>
                <w:color w:val="7030A0"/>
              </w:rPr>
              <w:t>m</w:t>
            </w:r>
            <w:r w:rsidRPr="00176A31">
              <w:rPr>
                <w:color w:val="7030A0"/>
              </w:rPr>
              <w:t>idday)]</w:t>
            </w:r>
          </w:p>
        </w:tc>
        <w:tc>
          <w:tcPr>
            <w:tcW w:w="2430" w:type="dxa"/>
            <w:vAlign w:val="center"/>
          </w:tcPr>
          <w:p w14:paraId="79C54885" w14:textId="04C3181E" w:rsidR="0061265D" w:rsidRPr="00640D01" w:rsidRDefault="0061265D" w:rsidP="006F61F5">
            <w:pPr>
              <w:pStyle w:val="TableText"/>
            </w:pPr>
            <w:r w:rsidRPr="00640D01">
              <w:t>12:00 p.m. to 01:00 p.m.</w:t>
            </w:r>
          </w:p>
        </w:tc>
        <w:tc>
          <w:tcPr>
            <w:tcW w:w="1797" w:type="dxa"/>
            <w:vAlign w:val="center"/>
          </w:tcPr>
          <w:p w14:paraId="207C1D31" w14:textId="77777777" w:rsidR="0061265D" w:rsidRPr="00640D01" w:rsidRDefault="0061265D" w:rsidP="006F61F5">
            <w:pPr>
              <w:pStyle w:val="TableText"/>
            </w:pPr>
          </w:p>
        </w:tc>
        <w:tc>
          <w:tcPr>
            <w:tcW w:w="1798" w:type="dxa"/>
            <w:vAlign w:val="center"/>
          </w:tcPr>
          <w:p w14:paraId="5D2B5508" w14:textId="77777777" w:rsidR="0061265D" w:rsidRPr="00640D01" w:rsidRDefault="0061265D" w:rsidP="006F61F5">
            <w:pPr>
              <w:pStyle w:val="TableText"/>
            </w:pPr>
          </w:p>
        </w:tc>
      </w:tr>
      <w:tr w:rsidR="0061265D" w:rsidRPr="00640D01" w14:paraId="20FCE96E" w14:textId="30A957E5" w:rsidTr="00176A31">
        <w:trPr>
          <w:trHeight w:val="317"/>
        </w:trPr>
        <w:tc>
          <w:tcPr>
            <w:tcW w:w="3325" w:type="dxa"/>
            <w:vAlign w:val="center"/>
          </w:tcPr>
          <w:p w14:paraId="2B799615" w14:textId="4B80E893"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w:t>
            </w:r>
            <w:r w:rsidR="000371CC" w:rsidRPr="00640D01">
              <w:rPr>
                <w:color w:val="7030A0"/>
              </w:rPr>
              <w:t>m</w:t>
            </w:r>
            <w:r w:rsidRPr="00176A31">
              <w:rPr>
                <w:color w:val="7030A0"/>
              </w:rPr>
              <w:t>idday)]</w:t>
            </w:r>
          </w:p>
        </w:tc>
        <w:tc>
          <w:tcPr>
            <w:tcW w:w="2430" w:type="dxa"/>
            <w:vAlign w:val="center"/>
          </w:tcPr>
          <w:p w14:paraId="727F772C" w14:textId="321B84E0" w:rsidR="0061265D" w:rsidRPr="00640D01" w:rsidRDefault="0061265D" w:rsidP="006F61F5">
            <w:pPr>
              <w:pStyle w:val="TableText"/>
            </w:pPr>
            <w:r w:rsidRPr="00640D01">
              <w:t>01:00 p.m. to 02:00 p.m.</w:t>
            </w:r>
          </w:p>
        </w:tc>
        <w:tc>
          <w:tcPr>
            <w:tcW w:w="1797" w:type="dxa"/>
            <w:vAlign w:val="center"/>
          </w:tcPr>
          <w:p w14:paraId="1F0BC122" w14:textId="77777777" w:rsidR="0061265D" w:rsidRPr="00640D01" w:rsidRDefault="0061265D" w:rsidP="006F61F5">
            <w:pPr>
              <w:pStyle w:val="TableText"/>
            </w:pPr>
          </w:p>
        </w:tc>
        <w:tc>
          <w:tcPr>
            <w:tcW w:w="1798" w:type="dxa"/>
            <w:vAlign w:val="center"/>
          </w:tcPr>
          <w:p w14:paraId="6B9DA7C2" w14:textId="77777777" w:rsidR="0061265D" w:rsidRPr="00640D01" w:rsidRDefault="0061265D" w:rsidP="006F61F5">
            <w:pPr>
              <w:pStyle w:val="TableText"/>
            </w:pPr>
          </w:p>
        </w:tc>
      </w:tr>
      <w:tr w:rsidR="0061265D" w:rsidRPr="00640D01" w14:paraId="0811519E" w14:textId="17278795" w:rsidTr="00176A31">
        <w:trPr>
          <w:trHeight w:val="317"/>
        </w:trPr>
        <w:tc>
          <w:tcPr>
            <w:tcW w:w="3325" w:type="dxa"/>
            <w:vAlign w:val="center"/>
          </w:tcPr>
          <w:p w14:paraId="3F5C9481" w14:textId="64C54A9B"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w:t>
            </w:r>
            <w:r w:rsidR="000371CC" w:rsidRPr="00640D01">
              <w:rPr>
                <w:color w:val="7030A0"/>
              </w:rPr>
              <w:t>m</w:t>
            </w:r>
            <w:r w:rsidRPr="00176A31">
              <w:rPr>
                <w:color w:val="7030A0"/>
              </w:rPr>
              <w:t>idday)]</w:t>
            </w:r>
          </w:p>
        </w:tc>
        <w:tc>
          <w:tcPr>
            <w:tcW w:w="2430" w:type="dxa"/>
            <w:vAlign w:val="center"/>
          </w:tcPr>
          <w:p w14:paraId="5DB9FF70" w14:textId="537D2A20" w:rsidR="0061265D" w:rsidRPr="00640D01" w:rsidRDefault="0061265D" w:rsidP="006F61F5">
            <w:pPr>
              <w:pStyle w:val="TableText"/>
            </w:pPr>
            <w:r w:rsidRPr="00640D01">
              <w:t>02:00 p.m. to 03:00 p.m.</w:t>
            </w:r>
          </w:p>
        </w:tc>
        <w:tc>
          <w:tcPr>
            <w:tcW w:w="1797" w:type="dxa"/>
            <w:vAlign w:val="center"/>
          </w:tcPr>
          <w:p w14:paraId="43895F14" w14:textId="77777777" w:rsidR="0061265D" w:rsidRPr="00640D01" w:rsidRDefault="0061265D" w:rsidP="006F61F5">
            <w:pPr>
              <w:pStyle w:val="TableText"/>
            </w:pPr>
          </w:p>
        </w:tc>
        <w:tc>
          <w:tcPr>
            <w:tcW w:w="1798" w:type="dxa"/>
            <w:vAlign w:val="center"/>
          </w:tcPr>
          <w:p w14:paraId="628925EF" w14:textId="77777777" w:rsidR="0061265D" w:rsidRPr="00640D01" w:rsidRDefault="0061265D" w:rsidP="006F61F5">
            <w:pPr>
              <w:pStyle w:val="TableText"/>
            </w:pPr>
          </w:p>
        </w:tc>
      </w:tr>
      <w:tr w:rsidR="004219BC" w:rsidRPr="00640D01" w14:paraId="2449573A" w14:textId="460D84F1" w:rsidTr="00176A31">
        <w:trPr>
          <w:trHeight w:val="317"/>
        </w:trPr>
        <w:tc>
          <w:tcPr>
            <w:tcW w:w="3325" w:type="dxa"/>
            <w:vAlign w:val="center"/>
          </w:tcPr>
          <w:p w14:paraId="7B624628" w14:textId="5A6490DE" w:rsidR="00821A5E" w:rsidRPr="00176A31" w:rsidRDefault="004219BC" w:rsidP="006F61F5">
            <w:pPr>
              <w:pStyle w:val="TableText"/>
              <w:rPr>
                <w:color w:val="7030A0"/>
              </w:rPr>
            </w:pPr>
            <w:r w:rsidRPr="00176A31">
              <w:rPr>
                <w:color w:val="7030A0"/>
              </w:rPr>
              <w:t>[</w:t>
            </w:r>
            <w:r w:rsidRPr="00176A31">
              <w:rPr>
                <w:b/>
                <w:bCs/>
                <w:color w:val="7030A0"/>
              </w:rPr>
              <w:t>Time period</w:t>
            </w:r>
            <w:r w:rsidR="0061265D" w:rsidRPr="00176A31">
              <w:rPr>
                <w:color w:val="7030A0"/>
              </w:rPr>
              <w:t xml:space="preserve"> (e</w:t>
            </w:r>
            <w:r w:rsidRPr="00176A31">
              <w:rPr>
                <w:color w:val="7030A0"/>
              </w:rPr>
              <w:t>.g.</w:t>
            </w:r>
            <w:r w:rsidR="0061265D" w:rsidRPr="00176A31">
              <w:rPr>
                <w:color w:val="7030A0"/>
              </w:rPr>
              <w:t>,</w:t>
            </w:r>
            <w:r w:rsidRPr="00176A31">
              <w:rPr>
                <w:color w:val="7030A0"/>
              </w:rPr>
              <w:t xml:space="preserve"> PM </w:t>
            </w:r>
            <w:r w:rsidR="0061265D" w:rsidRPr="00176A31">
              <w:rPr>
                <w:color w:val="7030A0"/>
              </w:rPr>
              <w:t>p</w:t>
            </w:r>
            <w:r w:rsidRPr="00176A31">
              <w:rPr>
                <w:color w:val="7030A0"/>
              </w:rPr>
              <w:t>eak</w:t>
            </w:r>
            <w:r w:rsidR="0061265D" w:rsidRPr="00176A31">
              <w:rPr>
                <w:color w:val="7030A0"/>
              </w:rPr>
              <w:t>)</w:t>
            </w:r>
            <w:r w:rsidRPr="00176A31">
              <w:rPr>
                <w:color w:val="7030A0"/>
              </w:rPr>
              <w:t>]</w:t>
            </w:r>
          </w:p>
        </w:tc>
        <w:tc>
          <w:tcPr>
            <w:tcW w:w="2430" w:type="dxa"/>
            <w:vAlign w:val="center"/>
          </w:tcPr>
          <w:p w14:paraId="042A628C" w14:textId="7B573A8B" w:rsidR="00821A5E" w:rsidRPr="00640D01" w:rsidRDefault="0080493F" w:rsidP="006F61F5">
            <w:pPr>
              <w:pStyle w:val="TableText"/>
            </w:pPr>
            <w:r w:rsidRPr="00640D01">
              <w:t>0</w:t>
            </w:r>
            <w:r w:rsidR="00821A5E" w:rsidRPr="00640D01">
              <w:t xml:space="preserve">3:00 </w:t>
            </w:r>
            <w:r w:rsidR="0061265D" w:rsidRPr="00640D01">
              <w:t>p.m.</w:t>
            </w:r>
            <w:r w:rsidR="00821A5E" w:rsidRPr="00640D01">
              <w:t xml:space="preserve"> to </w:t>
            </w:r>
            <w:r w:rsidRPr="00640D01">
              <w:t>0</w:t>
            </w:r>
            <w:r w:rsidR="00821A5E" w:rsidRPr="00640D01">
              <w:t xml:space="preserve">4:00 </w:t>
            </w:r>
            <w:r w:rsidR="0061265D" w:rsidRPr="00640D01">
              <w:t>p.m.</w:t>
            </w:r>
          </w:p>
        </w:tc>
        <w:tc>
          <w:tcPr>
            <w:tcW w:w="1797" w:type="dxa"/>
            <w:vAlign w:val="center"/>
          </w:tcPr>
          <w:p w14:paraId="69134BA1" w14:textId="77777777" w:rsidR="00821A5E" w:rsidRPr="00640D01" w:rsidRDefault="00821A5E" w:rsidP="006F61F5">
            <w:pPr>
              <w:pStyle w:val="TableText"/>
            </w:pPr>
          </w:p>
        </w:tc>
        <w:tc>
          <w:tcPr>
            <w:tcW w:w="1798" w:type="dxa"/>
            <w:vAlign w:val="center"/>
          </w:tcPr>
          <w:p w14:paraId="0FB1E998" w14:textId="77777777" w:rsidR="00821A5E" w:rsidRPr="00640D01" w:rsidRDefault="00821A5E" w:rsidP="006F61F5">
            <w:pPr>
              <w:pStyle w:val="TableText"/>
            </w:pPr>
          </w:p>
        </w:tc>
      </w:tr>
      <w:tr w:rsidR="0061265D" w:rsidRPr="00640D01" w14:paraId="618FF764" w14:textId="08D16FB1" w:rsidTr="00176A31">
        <w:trPr>
          <w:trHeight w:val="317"/>
        </w:trPr>
        <w:tc>
          <w:tcPr>
            <w:tcW w:w="3325" w:type="dxa"/>
            <w:vAlign w:val="center"/>
          </w:tcPr>
          <w:p w14:paraId="668BDE32" w14:textId="5C6DE2CD"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PM peak)]</w:t>
            </w:r>
          </w:p>
        </w:tc>
        <w:tc>
          <w:tcPr>
            <w:tcW w:w="2430" w:type="dxa"/>
            <w:vAlign w:val="center"/>
          </w:tcPr>
          <w:p w14:paraId="1ED81D07" w14:textId="43B333F9" w:rsidR="0061265D" w:rsidRPr="00640D01" w:rsidRDefault="0061265D" w:rsidP="006F61F5">
            <w:pPr>
              <w:pStyle w:val="TableText"/>
            </w:pPr>
            <w:r w:rsidRPr="00640D01">
              <w:t>04:00 p.m. to 05:00 p.m.</w:t>
            </w:r>
          </w:p>
        </w:tc>
        <w:tc>
          <w:tcPr>
            <w:tcW w:w="1797" w:type="dxa"/>
            <w:vAlign w:val="center"/>
          </w:tcPr>
          <w:p w14:paraId="63DE487E" w14:textId="77777777" w:rsidR="0061265D" w:rsidRPr="00640D01" w:rsidRDefault="0061265D" w:rsidP="006F61F5">
            <w:pPr>
              <w:pStyle w:val="TableText"/>
            </w:pPr>
          </w:p>
        </w:tc>
        <w:tc>
          <w:tcPr>
            <w:tcW w:w="1798" w:type="dxa"/>
            <w:vAlign w:val="center"/>
          </w:tcPr>
          <w:p w14:paraId="65B6867B" w14:textId="77777777" w:rsidR="0061265D" w:rsidRPr="00640D01" w:rsidRDefault="0061265D" w:rsidP="006F61F5">
            <w:pPr>
              <w:pStyle w:val="TableText"/>
            </w:pPr>
          </w:p>
        </w:tc>
      </w:tr>
      <w:tr w:rsidR="0061265D" w:rsidRPr="00640D01" w14:paraId="7AD27A55" w14:textId="37B42275" w:rsidTr="00176A31">
        <w:trPr>
          <w:trHeight w:val="317"/>
        </w:trPr>
        <w:tc>
          <w:tcPr>
            <w:tcW w:w="3325" w:type="dxa"/>
            <w:vAlign w:val="center"/>
          </w:tcPr>
          <w:p w14:paraId="693C58B1" w14:textId="4CDDB498"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PM peak)]</w:t>
            </w:r>
          </w:p>
        </w:tc>
        <w:tc>
          <w:tcPr>
            <w:tcW w:w="2430" w:type="dxa"/>
            <w:vAlign w:val="center"/>
          </w:tcPr>
          <w:p w14:paraId="4B236507" w14:textId="139810BD" w:rsidR="0061265D" w:rsidRPr="00640D01" w:rsidRDefault="0061265D" w:rsidP="006F61F5">
            <w:pPr>
              <w:pStyle w:val="TableText"/>
            </w:pPr>
            <w:r w:rsidRPr="00640D01">
              <w:t>05:00 p.m. to 06:00 p.m.</w:t>
            </w:r>
          </w:p>
        </w:tc>
        <w:tc>
          <w:tcPr>
            <w:tcW w:w="1797" w:type="dxa"/>
            <w:vAlign w:val="center"/>
          </w:tcPr>
          <w:p w14:paraId="27E79882" w14:textId="77777777" w:rsidR="0061265D" w:rsidRPr="00640D01" w:rsidRDefault="0061265D" w:rsidP="006F61F5">
            <w:pPr>
              <w:pStyle w:val="TableText"/>
            </w:pPr>
          </w:p>
        </w:tc>
        <w:tc>
          <w:tcPr>
            <w:tcW w:w="1798" w:type="dxa"/>
            <w:vAlign w:val="center"/>
          </w:tcPr>
          <w:p w14:paraId="149AA32C" w14:textId="77777777" w:rsidR="0061265D" w:rsidRPr="00640D01" w:rsidRDefault="0061265D" w:rsidP="006F61F5">
            <w:pPr>
              <w:pStyle w:val="TableText"/>
            </w:pPr>
          </w:p>
        </w:tc>
      </w:tr>
      <w:tr w:rsidR="0061265D" w:rsidRPr="00640D01" w14:paraId="5F85C0FF" w14:textId="28B66531" w:rsidTr="00176A31">
        <w:trPr>
          <w:trHeight w:val="317"/>
        </w:trPr>
        <w:tc>
          <w:tcPr>
            <w:tcW w:w="3325" w:type="dxa"/>
            <w:vAlign w:val="center"/>
          </w:tcPr>
          <w:p w14:paraId="1EE2A0AF" w14:textId="4BC6DB15"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PM peak)]</w:t>
            </w:r>
          </w:p>
        </w:tc>
        <w:tc>
          <w:tcPr>
            <w:tcW w:w="2430" w:type="dxa"/>
            <w:vAlign w:val="center"/>
          </w:tcPr>
          <w:p w14:paraId="773B2732" w14:textId="024ED224" w:rsidR="0061265D" w:rsidRPr="00640D01" w:rsidRDefault="0061265D" w:rsidP="006F61F5">
            <w:pPr>
              <w:pStyle w:val="TableText"/>
            </w:pPr>
            <w:r w:rsidRPr="00640D01">
              <w:t>06:00 p.m. to 07:00 p.m.</w:t>
            </w:r>
          </w:p>
        </w:tc>
        <w:tc>
          <w:tcPr>
            <w:tcW w:w="1797" w:type="dxa"/>
            <w:vAlign w:val="center"/>
          </w:tcPr>
          <w:p w14:paraId="335BB043" w14:textId="77777777" w:rsidR="0061265D" w:rsidRPr="00640D01" w:rsidRDefault="0061265D" w:rsidP="006F61F5">
            <w:pPr>
              <w:pStyle w:val="TableText"/>
            </w:pPr>
          </w:p>
        </w:tc>
        <w:tc>
          <w:tcPr>
            <w:tcW w:w="1798" w:type="dxa"/>
            <w:vAlign w:val="center"/>
          </w:tcPr>
          <w:p w14:paraId="7854CE8E" w14:textId="77777777" w:rsidR="0061265D" w:rsidRPr="00640D01" w:rsidRDefault="0061265D" w:rsidP="006F61F5">
            <w:pPr>
              <w:pStyle w:val="TableText"/>
            </w:pPr>
          </w:p>
        </w:tc>
      </w:tr>
      <w:tr w:rsidR="004219BC" w:rsidRPr="00640D01" w14:paraId="40DDABCA" w14:textId="0A339235" w:rsidTr="00176A31">
        <w:trPr>
          <w:trHeight w:val="317"/>
        </w:trPr>
        <w:tc>
          <w:tcPr>
            <w:tcW w:w="3325" w:type="dxa"/>
            <w:vAlign w:val="center"/>
          </w:tcPr>
          <w:p w14:paraId="2949DB7E" w14:textId="5128BCA1" w:rsidR="004219BC" w:rsidRPr="00176A31" w:rsidRDefault="004219BC" w:rsidP="006F61F5">
            <w:pPr>
              <w:pStyle w:val="TableText"/>
              <w:rPr>
                <w:color w:val="7030A0"/>
              </w:rPr>
            </w:pPr>
            <w:r w:rsidRPr="00176A31">
              <w:rPr>
                <w:color w:val="7030A0"/>
              </w:rPr>
              <w:t>[</w:t>
            </w:r>
            <w:r w:rsidRPr="00176A31">
              <w:rPr>
                <w:b/>
                <w:bCs/>
                <w:color w:val="7030A0"/>
              </w:rPr>
              <w:t>Time period</w:t>
            </w:r>
            <w:r w:rsidR="0061265D" w:rsidRPr="00176A31">
              <w:rPr>
                <w:color w:val="7030A0"/>
              </w:rPr>
              <w:t xml:space="preserve"> (e</w:t>
            </w:r>
            <w:r w:rsidRPr="00176A31">
              <w:rPr>
                <w:color w:val="7030A0"/>
              </w:rPr>
              <w:t>.g.</w:t>
            </w:r>
            <w:r w:rsidR="0061265D" w:rsidRPr="00176A31">
              <w:rPr>
                <w:color w:val="7030A0"/>
              </w:rPr>
              <w:t>, o</w:t>
            </w:r>
            <w:r w:rsidRPr="00176A31">
              <w:rPr>
                <w:color w:val="7030A0"/>
              </w:rPr>
              <w:t>vernight</w:t>
            </w:r>
            <w:r w:rsidR="0061265D" w:rsidRPr="00176A31">
              <w:rPr>
                <w:color w:val="7030A0"/>
              </w:rPr>
              <w:t>)</w:t>
            </w:r>
            <w:r w:rsidRPr="00176A31">
              <w:rPr>
                <w:color w:val="7030A0"/>
              </w:rPr>
              <w:t>]</w:t>
            </w:r>
          </w:p>
        </w:tc>
        <w:tc>
          <w:tcPr>
            <w:tcW w:w="2430" w:type="dxa"/>
            <w:vAlign w:val="center"/>
          </w:tcPr>
          <w:p w14:paraId="117636FC" w14:textId="03356429" w:rsidR="004219BC" w:rsidRPr="00640D01" w:rsidRDefault="004219BC" w:rsidP="006F61F5">
            <w:pPr>
              <w:pStyle w:val="TableText"/>
            </w:pPr>
            <w:r w:rsidRPr="00640D01">
              <w:t xml:space="preserve">07:00 </w:t>
            </w:r>
            <w:r w:rsidR="0061265D" w:rsidRPr="00640D01">
              <w:t>p.m.</w:t>
            </w:r>
            <w:r w:rsidRPr="00640D01">
              <w:t xml:space="preserve"> to 08:00 </w:t>
            </w:r>
            <w:r w:rsidR="0061265D" w:rsidRPr="00640D01">
              <w:t>p.m.</w:t>
            </w:r>
          </w:p>
        </w:tc>
        <w:tc>
          <w:tcPr>
            <w:tcW w:w="1797" w:type="dxa"/>
            <w:vAlign w:val="center"/>
          </w:tcPr>
          <w:p w14:paraId="7F281C96" w14:textId="77777777" w:rsidR="004219BC" w:rsidRPr="00640D01" w:rsidRDefault="004219BC" w:rsidP="006F61F5">
            <w:pPr>
              <w:pStyle w:val="TableText"/>
            </w:pPr>
          </w:p>
        </w:tc>
        <w:tc>
          <w:tcPr>
            <w:tcW w:w="1798" w:type="dxa"/>
            <w:vAlign w:val="center"/>
          </w:tcPr>
          <w:p w14:paraId="777CAF7A" w14:textId="77777777" w:rsidR="004219BC" w:rsidRPr="00640D01" w:rsidRDefault="004219BC" w:rsidP="006F61F5">
            <w:pPr>
              <w:pStyle w:val="TableText"/>
            </w:pPr>
          </w:p>
        </w:tc>
      </w:tr>
      <w:tr w:rsidR="0061265D" w:rsidRPr="00640D01" w14:paraId="68A0894F" w14:textId="7D3ADF47" w:rsidTr="00176A31">
        <w:trPr>
          <w:trHeight w:val="317"/>
        </w:trPr>
        <w:tc>
          <w:tcPr>
            <w:tcW w:w="3325" w:type="dxa"/>
            <w:vAlign w:val="center"/>
          </w:tcPr>
          <w:p w14:paraId="1314439F" w14:textId="32501CA3"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overnight)]</w:t>
            </w:r>
          </w:p>
        </w:tc>
        <w:tc>
          <w:tcPr>
            <w:tcW w:w="2430" w:type="dxa"/>
            <w:vAlign w:val="center"/>
          </w:tcPr>
          <w:p w14:paraId="0B72D912" w14:textId="07A7C06E" w:rsidR="0061265D" w:rsidRPr="00640D01" w:rsidRDefault="0061265D" w:rsidP="006F61F5">
            <w:pPr>
              <w:pStyle w:val="TableText"/>
            </w:pPr>
            <w:r w:rsidRPr="00640D01">
              <w:t>08:00 p.m. to 09:00 p.m.</w:t>
            </w:r>
          </w:p>
        </w:tc>
        <w:tc>
          <w:tcPr>
            <w:tcW w:w="1797" w:type="dxa"/>
            <w:vAlign w:val="center"/>
          </w:tcPr>
          <w:p w14:paraId="4FFE44C1" w14:textId="77777777" w:rsidR="0061265D" w:rsidRPr="00640D01" w:rsidRDefault="0061265D" w:rsidP="006F61F5">
            <w:pPr>
              <w:pStyle w:val="TableText"/>
            </w:pPr>
          </w:p>
        </w:tc>
        <w:tc>
          <w:tcPr>
            <w:tcW w:w="1798" w:type="dxa"/>
            <w:vAlign w:val="center"/>
          </w:tcPr>
          <w:p w14:paraId="56949C0E" w14:textId="77777777" w:rsidR="0061265D" w:rsidRPr="00640D01" w:rsidRDefault="0061265D" w:rsidP="006F61F5">
            <w:pPr>
              <w:pStyle w:val="TableText"/>
            </w:pPr>
          </w:p>
        </w:tc>
      </w:tr>
      <w:tr w:rsidR="0061265D" w:rsidRPr="00640D01" w14:paraId="03BB414A" w14:textId="4E7962DE" w:rsidTr="00176A31">
        <w:trPr>
          <w:trHeight w:val="317"/>
        </w:trPr>
        <w:tc>
          <w:tcPr>
            <w:tcW w:w="3325" w:type="dxa"/>
            <w:vAlign w:val="center"/>
          </w:tcPr>
          <w:p w14:paraId="71C09CCC" w14:textId="67831233"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overnight)]</w:t>
            </w:r>
          </w:p>
        </w:tc>
        <w:tc>
          <w:tcPr>
            <w:tcW w:w="2430" w:type="dxa"/>
            <w:vAlign w:val="center"/>
          </w:tcPr>
          <w:p w14:paraId="054C3D0B" w14:textId="76EC335E" w:rsidR="0061265D" w:rsidRPr="00640D01" w:rsidRDefault="0061265D" w:rsidP="006F61F5">
            <w:pPr>
              <w:pStyle w:val="TableText"/>
            </w:pPr>
            <w:r w:rsidRPr="00640D01">
              <w:t>09:00 p.m. to 10:00 p.m.</w:t>
            </w:r>
          </w:p>
        </w:tc>
        <w:tc>
          <w:tcPr>
            <w:tcW w:w="1797" w:type="dxa"/>
            <w:vAlign w:val="center"/>
          </w:tcPr>
          <w:p w14:paraId="58CE7715" w14:textId="77777777" w:rsidR="0061265D" w:rsidRPr="00640D01" w:rsidRDefault="0061265D" w:rsidP="006F61F5">
            <w:pPr>
              <w:pStyle w:val="TableText"/>
            </w:pPr>
          </w:p>
        </w:tc>
        <w:tc>
          <w:tcPr>
            <w:tcW w:w="1798" w:type="dxa"/>
            <w:vAlign w:val="center"/>
          </w:tcPr>
          <w:p w14:paraId="21D2BA37" w14:textId="77777777" w:rsidR="0061265D" w:rsidRPr="00640D01" w:rsidRDefault="0061265D" w:rsidP="006F61F5">
            <w:pPr>
              <w:pStyle w:val="TableText"/>
            </w:pPr>
          </w:p>
        </w:tc>
      </w:tr>
      <w:tr w:rsidR="0061265D" w:rsidRPr="00640D01" w14:paraId="19E844BC" w14:textId="564EB2B4" w:rsidTr="00176A31">
        <w:trPr>
          <w:trHeight w:val="317"/>
        </w:trPr>
        <w:tc>
          <w:tcPr>
            <w:tcW w:w="3325" w:type="dxa"/>
            <w:vAlign w:val="center"/>
          </w:tcPr>
          <w:p w14:paraId="73369AE8" w14:textId="5E7B849F" w:rsidR="0061265D" w:rsidRPr="00176A31" w:rsidRDefault="0061265D" w:rsidP="006F61F5">
            <w:pPr>
              <w:pStyle w:val="TableText"/>
              <w:rPr>
                <w:color w:val="7030A0"/>
              </w:rPr>
            </w:pPr>
            <w:r w:rsidRPr="00176A31">
              <w:rPr>
                <w:color w:val="7030A0"/>
              </w:rPr>
              <w:t>[</w:t>
            </w:r>
            <w:r w:rsidRPr="00176A31">
              <w:rPr>
                <w:b/>
                <w:bCs/>
                <w:color w:val="7030A0"/>
              </w:rPr>
              <w:t>Time period</w:t>
            </w:r>
            <w:r w:rsidRPr="00176A31">
              <w:rPr>
                <w:color w:val="7030A0"/>
              </w:rPr>
              <w:t xml:space="preserve"> (e.g., overnight)]</w:t>
            </w:r>
          </w:p>
        </w:tc>
        <w:tc>
          <w:tcPr>
            <w:tcW w:w="2430" w:type="dxa"/>
            <w:vAlign w:val="center"/>
          </w:tcPr>
          <w:p w14:paraId="10E1BE48" w14:textId="4972EA7D" w:rsidR="0061265D" w:rsidRPr="00640D01" w:rsidRDefault="0061265D" w:rsidP="006F61F5">
            <w:pPr>
              <w:pStyle w:val="TableText"/>
            </w:pPr>
            <w:r w:rsidRPr="00640D01">
              <w:t>11:00 p.m. to 12:00 a.m.</w:t>
            </w:r>
          </w:p>
        </w:tc>
        <w:tc>
          <w:tcPr>
            <w:tcW w:w="1797" w:type="dxa"/>
            <w:vAlign w:val="center"/>
          </w:tcPr>
          <w:p w14:paraId="3F4D7758" w14:textId="77777777" w:rsidR="0061265D" w:rsidRPr="00640D01" w:rsidRDefault="0061265D" w:rsidP="006F61F5">
            <w:pPr>
              <w:pStyle w:val="TableText"/>
            </w:pPr>
          </w:p>
        </w:tc>
        <w:tc>
          <w:tcPr>
            <w:tcW w:w="1798" w:type="dxa"/>
            <w:vAlign w:val="center"/>
          </w:tcPr>
          <w:p w14:paraId="242A9150" w14:textId="77777777" w:rsidR="0061265D" w:rsidRPr="00640D01" w:rsidRDefault="0061265D" w:rsidP="006F61F5">
            <w:pPr>
              <w:pStyle w:val="TableText"/>
            </w:pPr>
          </w:p>
        </w:tc>
      </w:tr>
    </w:tbl>
    <w:p w14:paraId="240BFCD0" w14:textId="3FC5AB9C" w:rsidR="00017A79" w:rsidRPr="00640D01" w:rsidRDefault="00017A79" w:rsidP="00640DD2">
      <w:pPr>
        <w:pStyle w:val="Heading3"/>
        <w:spacing w:before="240"/>
      </w:pPr>
      <w:bookmarkStart w:id="77" w:name="_Toc190242712"/>
      <w:r w:rsidRPr="00640D01">
        <w:t>Non</w:t>
      </w:r>
      <w:r w:rsidR="008753A7" w:rsidRPr="00640D01">
        <w:t xml:space="preserve">recurring </w:t>
      </w:r>
      <w:r w:rsidRPr="00640D01">
        <w:t>Congestion</w:t>
      </w:r>
      <w:bookmarkEnd w:id="77"/>
    </w:p>
    <w:p w14:paraId="7BC2208C" w14:textId="2EDFAEFD" w:rsidR="00581F0A" w:rsidRPr="00640D01" w:rsidRDefault="00581F0A" w:rsidP="00176A31">
      <w:pPr>
        <w:pStyle w:val="BodyText"/>
        <w:keepNext/>
        <w:rPr>
          <w:b/>
        </w:rPr>
      </w:pPr>
      <w:r w:rsidRPr="00640D01">
        <w:t>Is nonrecurring congestion a factor?</w:t>
      </w:r>
    </w:p>
    <w:p w14:paraId="6167985D" w14:textId="77777777" w:rsidR="00581F0A" w:rsidRPr="00640D01" w:rsidRDefault="00000000" w:rsidP="00176A31">
      <w:pPr>
        <w:pStyle w:val="BodyTextBold"/>
      </w:pPr>
      <w:sdt>
        <w:sdtPr>
          <w:id w:val="1471706898"/>
          <w14:checkbox>
            <w14:checked w14:val="0"/>
            <w14:checkedState w14:val="2612" w14:font="MS Gothic"/>
            <w14:uncheckedState w14:val="2610" w14:font="MS Gothic"/>
          </w14:checkbox>
        </w:sdtPr>
        <w:sdtContent>
          <w:r w:rsidR="00581F0A" w:rsidRPr="00640D01">
            <w:rPr>
              <w:rFonts w:ascii="Segoe UI Symbol" w:hAnsi="Segoe UI Symbol" w:cs="Segoe UI Symbol"/>
            </w:rPr>
            <w:t>☐</w:t>
          </w:r>
        </w:sdtContent>
      </w:sdt>
      <w:r w:rsidR="00581F0A" w:rsidRPr="00640D01">
        <w:t xml:space="preserve"> Yes</w:t>
      </w:r>
    </w:p>
    <w:p w14:paraId="5E4D0B37" w14:textId="5463AACC" w:rsidR="00581F0A" w:rsidRPr="00640D01" w:rsidRDefault="00581F0A" w:rsidP="00176A31">
      <w:pPr>
        <w:pStyle w:val="BodyText"/>
        <w:rPr>
          <w:b/>
          <w:bCs/>
          <w:color w:val="7030A0"/>
        </w:rPr>
      </w:pPr>
      <w:r w:rsidRPr="00176A31">
        <w:rPr>
          <w:color w:val="7030A0"/>
        </w:rPr>
        <w:t>[</w:t>
      </w:r>
      <w:r w:rsidRPr="00176A31">
        <w:rPr>
          <w:b/>
          <w:bCs/>
          <w:color w:val="7030A0"/>
        </w:rPr>
        <w:t>Explanation on how nonrecurring congestion is applied</w:t>
      </w:r>
      <w:r w:rsidR="00640DD2" w:rsidRPr="00176A31">
        <w:rPr>
          <w:b/>
          <w:bCs/>
          <w:color w:val="7030A0"/>
        </w:rPr>
        <w:t>.</w:t>
      </w:r>
      <w:r w:rsidRPr="00176A31">
        <w:rPr>
          <w:color w:val="7030A0"/>
        </w:rPr>
        <w:t>]</w:t>
      </w:r>
    </w:p>
    <w:p w14:paraId="4CB4183E" w14:textId="77777777" w:rsidR="00581F0A" w:rsidRPr="00640D01" w:rsidRDefault="00000000" w:rsidP="00176A31">
      <w:pPr>
        <w:pStyle w:val="BodyTextBold"/>
      </w:pPr>
      <w:sdt>
        <w:sdtPr>
          <w:id w:val="1363100172"/>
          <w14:checkbox>
            <w14:checked w14:val="0"/>
            <w14:checkedState w14:val="2612" w14:font="MS Gothic"/>
            <w14:uncheckedState w14:val="2610" w14:font="MS Gothic"/>
          </w14:checkbox>
        </w:sdtPr>
        <w:sdtContent>
          <w:r w:rsidR="00581F0A" w:rsidRPr="00640D01">
            <w:rPr>
              <w:rFonts w:ascii="MS Gothic" w:eastAsia="MS Gothic" w:hAnsi="MS Gothic"/>
            </w:rPr>
            <w:t>☐</w:t>
          </w:r>
        </w:sdtContent>
      </w:sdt>
      <w:r w:rsidR="00581F0A" w:rsidRPr="00640D01">
        <w:t xml:space="preserve"> No</w:t>
      </w:r>
    </w:p>
    <w:p w14:paraId="3412E581" w14:textId="75CC97D0" w:rsidR="00581F0A" w:rsidRPr="00514311" w:rsidRDefault="00581F0A" w:rsidP="00176A31">
      <w:pPr>
        <w:pStyle w:val="BodyText"/>
        <w:rPr>
          <w:color w:val="7030A0"/>
        </w:rPr>
      </w:pPr>
      <w:r w:rsidRPr="00514311">
        <w:rPr>
          <w:color w:val="7030A0"/>
        </w:rPr>
        <w:t>Regional travel demand model does not model for nonrecurring congestion, and this emission model does not use any adjustment factor developed to account for nonrecurring congestion.</w:t>
      </w:r>
    </w:p>
    <w:p w14:paraId="149E0E4B" w14:textId="77777777" w:rsidR="0011731C" w:rsidRPr="00640D01" w:rsidRDefault="00017A79" w:rsidP="00B815B4">
      <w:pPr>
        <w:pStyle w:val="Heading2"/>
      </w:pPr>
      <w:bookmarkStart w:id="78" w:name="_Toc190242713"/>
      <w:r w:rsidRPr="00640D01">
        <w:lastRenderedPageBreak/>
        <w:t>Estimation of On-Network Activity</w:t>
      </w:r>
      <w:bookmarkEnd w:id="78"/>
    </w:p>
    <w:p w14:paraId="0A7CEA9B" w14:textId="72081993" w:rsidR="006C5847" w:rsidRPr="00640D01" w:rsidRDefault="006C5847" w:rsidP="006C5847">
      <w:pPr>
        <w:pStyle w:val="Heading3"/>
      </w:pPr>
      <w:bookmarkStart w:id="79" w:name="_Toc190242714"/>
      <w:r w:rsidRPr="00640D01">
        <w:t>Transit Systems</w:t>
      </w:r>
      <w:bookmarkEnd w:id="79"/>
    </w:p>
    <w:p w14:paraId="5CEFA895" w14:textId="25EB348E" w:rsidR="003B22F2" w:rsidRPr="00640D01" w:rsidRDefault="003B22F2" w:rsidP="00B815B4">
      <w:pPr>
        <w:pStyle w:val="BodyText"/>
      </w:pPr>
      <w:r w:rsidRPr="00640D01">
        <w:t>Is transit VMT applicable?</w:t>
      </w:r>
    </w:p>
    <w:p w14:paraId="71234480" w14:textId="77777777" w:rsidR="003B22F2" w:rsidRPr="00640D01" w:rsidRDefault="00000000" w:rsidP="00176A31">
      <w:pPr>
        <w:pStyle w:val="BodyTextBold"/>
      </w:pPr>
      <w:sdt>
        <w:sdtPr>
          <w:id w:val="-1008132591"/>
          <w14:checkbox>
            <w14:checked w14:val="0"/>
            <w14:checkedState w14:val="2612" w14:font="MS Gothic"/>
            <w14:uncheckedState w14:val="2610" w14:font="MS Gothic"/>
          </w14:checkbox>
        </w:sdtPr>
        <w:sdtContent>
          <w:r w:rsidR="003B22F2" w:rsidRPr="00640D01">
            <w:rPr>
              <w:rFonts w:ascii="MS Gothic" w:eastAsia="MS Gothic" w:hAnsi="MS Gothic"/>
            </w:rPr>
            <w:t>☐</w:t>
          </w:r>
        </w:sdtContent>
      </w:sdt>
      <w:r w:rsidR="003B22F2" w:rsidRPr="00640D01">
        <w:t xml:space="preserve"> Applicable</w:t>
      </w:r>
    </w:p>
    <w:p w14:paraId="7107E3AC" w14:textId="06C0549C" w:rsidR="003B22F2" w:rsidRPr="00176A31" w:rsidRDefault="003B22F2" w:rsidP="00176A31">
      <w:pPr>
        <w:pStyle w:val="BodyText"/>
        <w:rPr>
          <w:color w:val="7030A0"/>
        </w:rPr>
      </w:pPr>
      <w:r w:rsidRPr="00176A31">
        <w:rPr>
          <w:color w:val="7030A0"/>
        </w:rPr>
        <w:t>[</w:t>
      </w:r>
      <w:r w:rsidRPr="00176A31">
        <w:rPr>
          <w:b/>
          <w:bCs/>
          <w:color w:val="7030A0"/>
        </w:rPr>
        <w:t>Transit county, coverage area (in square miles), and transit VMT</w:t>
      </w:r>
      <w:r w:rsidR="0012212C" w:rsidRPr="00640D01">
        <w:rPr>
          <w:b/>
          <w:bCs/>
          <w:color w:val="7030A0"/>
        </w:rPr>
        <w:t xml:space="preserve"> </w:t>
      </w:r>
      <w:r w:rsidR="0012212C" w:rsidRPr="00176A31">
        <w:rPr>
          <w:color w:val="7030A0"/>
        </w:rPr>
        <w:t>(</w:t>
      </w:r>
      <w:r w:rsidR="0012212C" w:rsidRPr="00640D01">
        <w:rPr>
          <w:color w:val="7030A0"/>
        </w:rPr>
        <w:t>e</w:t>
      </w:r>
      <w:r w:rsidRPr="00176A31">
        <w:rPr>
          <w:color w:val="7030A0"/>
        </w:rPr>
        <w:t xml:space="preserve">.g., TRANSIT_NAME serves XX, YY, and ZZ Counties. Its service area covers 9,999 miles. The summer weekday daily regional transit VMT for analysis years 2023, 2026, 2036, and 2045 </w:t>
      </w:r>
      <w:r w:rsidR="006F61F5" w:rsidRPr="00640D01">
        <w:rPr>
          <w:color w:val="7030A0"/>
        </w:rPr>
        <w:t>is</w:t>
      </w:r>
      <w:r w:rsidR="006F61F5" w:rsidRPr="00176A31">
        <w:rPr>
          <w:color w:val="7030A0"/>
        </w:rPr>
        <w:t xml:space="preserve"> </w:t>
      </w:r>
      <w:r w:rsidRPr="00176A31">
        <w:rPr>
          <w:color w:val="7030A0"/>
        </w:rPr>
        <w:t>####, ####, ####, and ####, respectively.]</w:t>
      </w:r>
    </w:p>
    <w:p w14:paraId="56B64361" w14:textId="77777777" w:rsidR="003B22F2" w:rsidRPr="00640D01" w:rsidRDefault="00000000" w:rsidP="00176A31">
      <w:pPr>
        <w:pStyle w:val="BodyTextBold"/>
      </w:pPr>
      <w:sdt>
        <w:sdtPr>
          <w:id w:val="291099296"/>
          <w14:checkbox>
            <w14:checked w14:val="0"/>
            <w14:checkedState w14:val="2612" w14:font="MS Gothic"/>
            <w14:uncheckedState w14:val="2610" w14:font="MS Gothic"/>
          </w14:checkbox>
        </w:sdtPr>
        <w:sdtContent>
          <w:r w:rsidR="003B22F2" w:rsidRPr="00640D01">
            <w:rPr>
              <w:rFonts w:ascii="MS Gothic" w:eastAsia="MS Gothic" w:hAnsi="MS Gothic"/>
            </w:rPr>
            <w:t>☐</w:t>
          </w:r>
        </w:sdtContent>
      </w:sdt>
      <w:r w:rsidR="003B22F2" w:rsidRPr="00640D01">
        <w:t xml:space="preserve"> Not applicable</w:t>
      </w:r>
    </w:p>
    <w:p w14:paraId="2943D0DB" w14:textId="77777777" w:rsidR="003B22F2" w:rsidRPr="00514311" w:rsidRDefault="003B22F2" w:rsidP="00176A31">
      <w:pPr>
        <w:pStyle w:val="BodyText"/>
        <w:rPr>
          <w:b/>
          <w:bCs/>
          <w:color w:val="7030A0"/>
        </w:rPr>
      </w:pPr>
      <w:r w:rsidRPr="00514311">
        <w:rPr>
          <w:color w:val="7030A0"/>
        </w:rPr>
        <w:t>The transit trips are excluded from the highway assignment and do not contribute to roadway VMT.</w:t>
      </w:r>
    </w:p>
    <w:p w14:paraId="1B88F11F" w14:textId="4C35FB98" w:rsidR="008C68CC" w:rsidRPr="00640D01" w:rsidRDefault="00236E00" w:rsidP="00236E00">
      <w:pPr>
        <w:pStyle w:val="Heading3"/>
      </w:pPr>
      <w:bookmarkStart w:id="80" w:name="_Toc190242715"/>
      <w:r w:rsidRPr="00640D01">
        <w:t>Roadway VMT</w:t>
      </w:r>
      <w:bookmarkEnd w:id="80"/>
    </w:p>
    <w:p w14:paraId="693B7680" w14:textId="40C1EB5B" w:rsidR="00A66C57" w:rsidRPr="00640D01" w:rsidRDefault="00A66C57" w:rsidP="00B815B4">
      <w:pPr>
        <w:pStyle w:val="BodyText"/>
      </w:pPr>
      <w:r w:rsidRPr="00640D01">
        <w:t xml:space="preserve">Roadway VMT is provided by hour, county, road type and area type. </w:t>
      </w:r>
      <w:r w:rsidR="00C838CD" w:rsidRPr="00176A31">
        <w:t xml:space="preserve">Appendix </w:t>
      </w:r>
      <w:r w:rsidR="006F61F5" w:rsidRPr="00640D01">
        <w:t xml:space="preserve">Section </w:t>
      </w:r>
      <w:r w:rsidR="00C838CD" w:rsidRPr="00176A31">
        <w:fldChar w:fldCharType="begin"/>
      </w:r>
      <w:r w:rsidR="00C838CD" w:rsidRPr="00176A31">
        <w:instrText xml:space="preserve"> REF _Ref159506257 \h </w:instrText>
      </w:r>
      <w:r w:rsidR="009423C7" w:rsidRPr="00176A31">
        <w:instrText xml:space="preserve"> \* MERGEFORMAT </w:instrText>
      </w:r>
      <w:r w:rsidR="00C838CD" w:rsidRPr="00176A31">
        <w:fldChar w:fldCharType="separate"/>
      </w:r>
      <w:r w:rsidR="00514311" w:rsidRPr="00640D01">
        <w:t>D.5 VMT, Speed, and Emissions Summaries</w:t>
      </w:r>
      <w:r w:rsidR="00C838CD" w:rsidRPr="00176A31">
        <w:fldChar w:fldCharType="end"/>
      </w:r>
      <w:r w:rsidR="00C838CD" w:rsidRPr="00640D01">
        <w:t xml:space="preserve"> </w:t>
      </w:r>
      <w:r w:rsidRPr="00640D01">
        <w:t>contains all the network years with the final VMT estimates.</w:t>
      </w:r>
    </w:p>
    <w:p w14:paraId="293DF7B9" w14:textId="77777777" w:rsidR="00A66C57" w:rsidRPr="00640D01" w:rsidRDefault="00A66C57" w:rsidP="00A66C57">
      <w:pPr>
        <w:pStyle w:val="Heading3"/>
      </w:pPr>
      <w:bookmarkStart w:id="81" w:name="_Ref159506214"/>
      <w:bookmarkStart w:id="82" w:name="_Toc190242716"/>
      <w:r w:rsidRPr="00640D01">
        <w:t>Average Loaded Speeds</w:t>
      </w:r>
      <w:bookmarkEnd w:id="81"/>
      <w:bookmarkEnd w:id="82"/>
      <w:r w:rsidRPr="00640D01">
        <w:t xml:space="preserve"> </w:t>
      </w:r>
    </w:p>
    <w:p w14:paraId="49554B46" w14:textId="0410B64E" w:rsidR="00A66C57" w:rsidRPr="00640D01" w:rsidRDefault="00A66C57" w:rsidP="00B815B4">
      <w:pPr>
        <w:pStyle w:val="BodyText"/>
      </w:pPr>
      <w:r w:rsidRPr="00640D01">
        <w:t xml:space="preserve">Average </w:t>
      </w:r>
      <w:r w:rsidR="0012212C" w:rsidRPr="00640D01">
        <w:t>loaded spe</w:t>
      </w:r>
      <w:r w:rsidRPr="00640D01">
        <w:t>eds are provided by hour, county, road type</w:t>
      </w:r>
      <w:r w:rsidR="0012212C" w:rsidRPr="00640D01">
        <w:t>,</w:t>
      </w:r>
      <w:r w:rsidRPr="00640D01">
        <w:t xml:space="preserve"> and area type. The final average loaded speeds are listed in</w:t>
      </w:r>
      <w:r w:rsidR="004E21E6" w:rsidRPr="00640D01">
        <w:t xml:space="preserve"> </w:t>
      </w:r>
      <w:r w:rsidR="004E21E6" w:rsidRPr="00176A31">
        <w:t>Appendix</w:t>
      </w:r>
      <w:r w:rsidR="006F61F5" w:rsidRPr="00640D01">
        <w:t xml:space="preserve"> Section</w:t>
      </w:r>
      <w:r w:rsidR="004E21E6" w:rsidRPr="00176A31">
        <w:t xml:space="preserve"> </w:t>
      </w:r>
      <w:r w:rsidR="004E21E6" w:rsidRPr="00176A31">
        <w:fldChar w:fldCharType="begin"/>
      </w:r>
      <w:r w:rsidR="004E21E6" w:rsidRPr="00176A31">
        <w:instrText xml:space="preserve"> REF _Ref159506257 \h </w:instrText>
      </w:r>
      <w:r w:rsidR="009423C7" w:rsidRPr="00176A31">
        <w:instrText xml:space="preserve"> \* MERGEFORMAT </w:instrText>
      </w:r>
      <w:r w:rsidR="004E21E6" w:rsidRPr="00176A31">
        <w:fldChar w:fldCharType="separate"/>
      </w:r>
      <w:r w:rsidR="00514311" w:rsidRPr="00640D01">
        <w:t>D.5 VMT, Speed, and Emissions Summaries</w:t>
      </w:r>
      <w:r w:rsidR="004E21E6" w:rsidRPr="00176A31">
        <w:fldChar w:fldCharType="end"/>
      </w:r>
      <w:r w:rsidRPr="00640D01">
        <w:t>.</w:t>
      </w:r>
    </w:p>
    <w:p w14:paraId="683598D0" w14:textId="77777777" w:rsidR="00A66C57" w:rsidRPr="00640D01" w:rsidRDefault="00A66C57" w:rsidP="00A66C57">
      <w:pPr>
        <w:pStyle w:val="Heading3"/>
      </w:pPr>
      <w:bookmarkStart w:id="83" w:name="_Toc190242717"/>
      <w:r w:rsidRPr="00640D01">
        <w:t>Centerline and Lane Miles.</w:t>
      </w:r>
      <w:bookmarkEnd w:id="83"/>
    </w:p>
    <w:p w14:paraId="6B346257" w14:textId="117BDA82" w:rsidR="00A66C57" w:rsidRPr="00640D01" w:rsidRDefault="00A66C57" w:rsidP="00B815B4">
      <w:pPr>
        <w:pStyle w:val="BodyText"/>
      </w:pPr>
      <w:r w:rsidRPr="00640D01">
        <w:t xml:space="preserve">Centerline miles and lane miles are provided by functional class and area type for each analysis year </w:t>
      </w:r>
      <w:r w:rsidR="006F61F5" w:rsidRPr="00640D01">
        <w:t xml:space="preserve">and </w:t>
      </w:r>
      <w:r w:rsidRPr="00640D01">
        <w:t xml:space="preserve">are listed in </w:t>
      </w:r>
      <w:r w:rsidR="00C838CD" w:rsidRPr="00176A31">
        <w:t xml:space="preserve">Appendix </w:t>
      </w:r>
      <w:r w:rsidR="006F61F5" w:rsidRPr="00640D01">
        <w:t xml:space="preserve">Section </w:t>
      </w:r>
      <w:r w:rsidR="00C838CD" w:rsidRPr="00176A31">
        <w:fldChar w:fldCharType="begin"/>
      </w:r>
      <w:r w:rsidR="00C838CD" w:rsidRPr="00176A31">
        <w:instrText xml:space="preserve"> REF _Ref159506337 \h </w:instrText>
      </w:r>
      <w:r w:rsidR="009423C7" w:rsidRPr="00176A31">
        <w:instrText xml:space="preserve"> \* MERGEFORMAT </w:instrText>
      </w:r>
      <w:r w:rsidR="00C838CD" w:rsidRPr="00176A31">
        <w:fldChar w:fldCharType="separate"/>
      </w:r>
      <w:r w:rsidR="00514311" w:rsidRPr="00640D01">
        <w:t>C.2 Links, Miles, Centerline, and Lane Miles Summaries</w:t>
      </w:r>
      <w:r w:rsidR="00C838CD" w:rsidRPr="00176A31">
        <w:fldChar w:fldCharType="end"/>
      </w:r>
      <w:r w:rsidR="00C838CD" w:rsidRPr="00640D01">
        <w:t>.</w:t>
      </w:r>
    </w:p>
    <w:p w14:paraId="2FC23D16" w14:textId="22AC304A" w:rsidR="0011731C" w:rsidRPr="00640D01" w:rsidRDefault="00017A79" w:rsidP="0011731C">
      <w:pPr>
        <w:pStyle w:val="Heading2"/>
      </w:pPr>
      <w:bookmarkStart w:id="84" w:name="_Toc190242718"/>
      <w:r w:rsidRPr="00640D01">
        <w:t>Estimation of Off-Network Activity</w:t>
      </w:r>
      <w:bookmarkEnd w:id="84"/>
    </w:p>
    <w:p w14:paraId="5A2C1E4A" w14:textId="121DEA0D" w:rsidR="0000456C" w:rsidRPr="00640D01" w:rsidRDefault="0000456C" w:rsidP="00B815B4">
      <w:pPr>
        <w:pStyle w:val="BodyText"/>
      </w:pPr>
      <w:r w:rsidRPr="00640D01">
        <w:t xml:space="preserve">County-level, hourly estimates of the </w:t>
      </w:r>
      <w:r w:rsidR="0012212C" w:rsidRPr="00640D01">
        <w:t xml:space="preserve">source hours parked </w:t>
      </w:r>
      <w:r w:rsidRPr="00640D01">
        <w:t xml:space="preserve">(SHP) and starts activity were required for each vehicle type to estimate the off-network (or parked vehicle) emissions. Source </w:t>
      </w:r>
      <w:r w:rsidR="0012212C" w:rsidRPr="00640D01">
        <w:t>hours extended idling</w:t>
      </w:r>
      <w:r w:rsidRPr="00640D01">
        <w:t xml:space="preserve"> (SHEI) and </w:t>
      </w:r>
      <w:r w:rsidR="0012212C" w:rsidRPr="00640D01">
        <w:t xml:space="preserve">auxiliary power unit </w:t>
      </w:r>
      <w:r w:rsidRPr="00640D01">
        <w:t xml:space="preserve">(APU) hours estimates were needed for combination long-haul trucks. For </w:t>
      </w:r>
      <w:r w:rsidR="00684C90" w:rsidRPr="00640D01">
        <w:t xml:space="preserve">the </w:t>
      </w:r>
      <w:r w:rsidRPr="00640D01">
        <w:t>estimation of the SHP and vehicle starts</w:t>
      </w:r>
      <w:r w:rsidR="0012212C" w:rsidRPr="00640D01">
        <w:t>,</w:t>
      </w:r>
      <w:r w:rsidRPr="00640D01">
        <w:t xml:space="preserve"> vehicle population estimates were also needed</w:t>
      </w:r>
      <w:r w:rsidR="00412157" w:rsidRPr="00640D01">
        <w:t>.</w:t>
      </w:r>
      <w:r w:rsidR="005F3B0A" w:rsidRPr="00640D01">
        <w:t xml:space="preserve"> </w:t>
      </w:r>
    </w:p>
    <w:p w14:paraId="60240D6F" w14:textId="6CE9E063" w:rsidR="005F3B0A" w:rsidRPr="00640D01" w:rsidRDefault="005F3B0A" w:rsidP="00B815B4">
      <w:pPr>
        <w:pStyle w:val="BodyText"/>
      </w:pPr>
      <w:r w:rsidRPr="00640D01">
        <w:t xml:space="preserve">The vehicle population and hourly SHP, starts, </w:t>
      </w:r>
      <w:r w:rsidR="00A20FD2" w:rsidRPr="00640D01">
        <w:t>source hours idling (</w:t>
      </w:r>
      <w:r w:rsidRPr="00640D01">
        <w:t>SHI</w:t>
      </w:r>
      <w:r w:rsidR="00A20FD2" w:rsidRPr="00640D01">
        <w:t>)</w:t>
      </w:r>
      <w:r w:rsidRPr="00640D01">
        <w:t>, and APU hours are available in</w:t>
      </w:r>
      <w:r w:rsidR="009423C7" w:rsidRPr="00640D01">
        <w:t xml:space="preserve"> </w:t>
      </w:r>
      <w:r w:rsidR="009423C7" w:rsidRPr="00176A31">
        <w:t xml:space="preserve">Appendix </w:t>
      </w:r>
      <w:r w:rsidR="00CF6DBB" w:rsidRPr="00640D01">
        <w:t xml:space="preserve">Section </w:t>
      </w:r>
      <w:r w:rsidR="009423C7" w:rsidRPr="00176A31">
        <w:fldChar w:fldCharType="begin"/>
      </w:r>
      <w:r w:rsidR="009423C7" w:rsidRPr="00176A31">
        <w:instrText xml:space="preserve"> REF _Ref159507784 \h  \* MERGEFORMAT </w:instrText>
      </w:r>
      <w:r w:rsidR="009423C7" w:rsidRPr="00176A31">
        <w:fldChar w:fldCharType="separate"/>
      </w:r>
      <w:r w:rsidR="00514311" w:rsidRPr="00640D01">
        <w:t>D.3 Activities</w:t>
      </w:r>
      <w:r w:rsidR="009423C7" w:rsidRPr="00176A31">
        <w:fldChar w:fldCharType="end"/>
      </w:r>
      <w:r w:rsidR="00EC198E" w:rsidRPr="00640D01">
        <w:t>.</w:t>
      </w:r>
    </w:p>
    <w:p w14:paraId="5DF7FA61" w14:textId="77777777" w:rsidR="00836FEB" w:rsidRPr="00640D01" w:rsidRDefault="00836FEB" w:rsidP="00836FEB">
      <w:pPr>
        <w:pStyle w:val="Heading3"/>
      </w:pPr>
      <w:bookmarkStart w:id="85" w:name="_Toc190242719"/>
      <w:r w:rsidRPr="00640D01">
        <w:t>Vehicle Populations</w:t>
      </w:r>
      <w:bookmarkEnd w:id="85"/>
    </w:p>
    <w:p w14:paraId="0D4D547A" w14:textId="2B0C67DA" w:rsidR="00836FEB" w:rsidRPr="00640D01" w:rsidRDefault="00836FEB" w:rsidP="00B815B4">
      <w:pPr>
        <w:pStyle w:val="BodyText"/>
      </w:pPr>
      <w:r w:rsidRPr="00640D01">
        <w:t xml:space="preserve">Vehicle population data were used to estimate SHP and vehicle starts off-network activity. The vehicle population estimates were derived from </w:t>
      </w:r>
      <w:r w:rsidR="0012212C" w:rsidRPr="00640D01">
        <w:t xml:space="preserve">the </w:t>
      </w:r>
      <w:r w:rsidRPr="00640D01">
        <w:t xml:space="preserve">end of year </w:t>
      </w:r>
      <w:r w:rsidRPr="00176A31">
        <w:rPr>
          <w:color w:val="7030A0"/>
        </w:rPr>
        <w:t>[</w:t>
      </w:r>
      <w:r w:rsidR="005A708F" w:rsidRPr="00640D01">
        <w:rPr>
          <w:b/>
          <w:bCs/>
          <w:color w:val="7030A0"/>
        </w:rPr>
        <w:t>year of data</w:t>
      </w:r>
      <w:r w:rsidR="005A708F" w:rsidRPr="00176A31">
        <w:rPr>
          <w:color w:val="7030A0"/>
        </w:rPr>
        <w:t>]</w:t>
      </w:r>
      <w:r w:rsidRPr="00640D01">
        <w:t xml:space="preserve">, </w:t>
      </w:r>
      <w:r w:rsidR="0012212C" w:rsidRPr="00640D01">
        <w:t>county-</w:t>
      </w:r>
      <w:r w:rsidRPr="00640D01">
        <w:t xml:space="preserve">specific </w:t>
      </w:r>
      <w:r w:rsidRPr="00640D01">
        <w:lastRenderedPageBreak/>
        <w:t xml:space="preserve">vehicle registration data provided by TxDMV, TxDOT </w:t>
      </w:r>
      <w:r w:rsidR="0012212C" w:rsidRPr="00640D01">
        <w:t>district-</w:t>
      </w:r>
      <w:r w:rsidRPr="00640D01">
        <w:t>level VMT mix data, and HPMS-reported county-level VMT totals.</w:t>
      </w:r>
    </w:p>
    <w:p w14:paraId="4A07D4EF" w14:textId="15F8DA75" w:rsidR="00932EF0" w:rsidRPr="00640D01" w:rsidRDefault="00932EF0" w:rsidP="00B815B4">
      <w:pPr>
        <w:pStyle w:val="BodyText"/>
      </w:pPr>
      <w:r w:rsidRPr="00640D01">
        <w:t>The following steps were used to disaggregate the TxDMV vehicle registration data to vehicle population data by vehicle type</w:t>
      </w:r>
      <w:r w:rsidR="0012212C" w:rsidRPr="00640D01">
        <w:t>:</w:t>
      </w:r>
    </w:p>
    <w:p w14:paraId="2980B5DC" w14:textId="1E804CDD" w:rsidR="00932EF0" w:rsidRPr="00640D01" w:rsidRDefault="00932EF0" w:rsidP="00B815B4">
      <w:pPr>
        <w:pStyle w:val="ListNumber"/>
        <w:numPr>
          <w:ilvl w:val="0"/>
          <w:numId w:val="62"/>
        </w:numPr>
      </w:pPr>
      <w:r w:rsidRPr="00640D01">
        <w:t xml:space="preserve">VMT mix data </w:t>
      </w:r>
      <w:r w:rsidR="0012212C" w:rsidRPr="00640D01">
        <w:t xml:space="preserve">were </w:t>
      </w:r>
      <w:r w:rsidRPr="00640D01">
        <w:t xml:space="preserve">used to calculate the proportional representation of each MOVES vehicle type within each TxDMV aggregation class (first column of </w:t>
      </w:r>
      <w:r w:rsidRPr="00640D01">
        <w:fldChar w:fldCharType="begin"/>
      </w:r>
      <w:r w:rsidRPr="00640D01">
        <w:instrText xml:space="preserve"> REF _Ref159421810 \h </w:instrText>
      </w:r>
      <w:r w:rsidRPr="00640D01">
        <w:fldChar w:fldCharType="separate"/>
      </w:r>
      <w:r w:rsidR="00514311" w:rsidRPr="00640D01">
        <w:t xml:space="preserve">Table </w:t>
      </w:r>
      <w:r w:rsidR="00514311">
        <w:rPr>
          <w:noProof/>
        </w:rPr>
        <w:t>4</w:t>
      </w:r>
      <w:r w:rsidR="00514311">
        <w:noBreakHyphen/>
      </w:r>
      <w:r w:rsidR="00514311">
        <w:rPr>
          <w:noProof/>
        </w:rPr>
        <w:t>5</w:t>
      </w:r>
      <w:r w:rsidRPr="00640D01">
        <w:fldChar w:fldCharType="end"/>
      </w:r>
      <w:r w:rsidRPr="00640D01">
        <w:t xml:space="preserve">). </w:t>
      </w:r>
    </w:p>
    <w:p w14:paraId="6A0EE7DA" w14:textId="67EB32D4" w:rsidR="00932EF0" w:rsidRPr="00640D01" w:rsidRDefault="00932EF0" w:rsidP="00B815B4">
      <w:pPr>
        <w:pStyle w:val="TableCaption"/>
      </w:pPr>
      <w:bookmarkStart w:id="86" w:name="_Ref159421810"/>
      <w:bookmarkStart w:id="87" w:name="_Toc190183121"/>
      <w:r w:rsidRPr="00640D01">
        <w:t xml:space="preserve">Table </w:t>
      </w:r>
      <w:r w:rsidR="00514311">
        <w:fldChar w:fldCharType="begin"/>
      </w:r>
      <w:r w:rsidR="00514311">
        <w:instrText xml:space="preserve"> STYLEREF 1 \s </w:instrText>
      </w:r>
      <w:r w:rsidR="00514311">
        <w:fldChar w:fldCharType="separate"/>
      </w:r>
      <w:r w:rsidR="00514311">
        <w:rPr>
          <w:noProof/>
        </w:rPr>
        <w:t>4</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5</w:t>
      </w:r>
      <w:r w:rsidR="00514311">
        <w:fldChar w:fldCharType="end"/>
      </w:r>
      <w:bookmarkEnd w:id="86"/>
      <w:r w:rsidRPr="00640D01">
        <w:t>. Vehicle Registration Aggregations and Vehicle Types</w:t>
      </w:r>
      <w:bookmarkEnd w:id="87"/>
    </w:p>
    <w:tbl>
      <w:tblPr>
        <w:tblStyle w:val="TTITable"/>
        <w:tblW w:w="0" w:type="auto"/>
        <w:tblLook w:val="06A0" w:firstRow="1" w:lastRow="0" w:firstColumn="1" w:lastColumn="0" w:noHBand="1" w:noVBand="1"/>
      </w:tblPr>
      <w:tblGrid>
        <w:gridCol w:w="3174"/>
        <w:gridCol w:w="4183"/>
      </w:tblGrid>
      <w:tr w:rsidR="00932EF0" w:rsidRPr="00640D01" w14:paraId="51A79768" w14:textId="77777777" w:rsidTr="00176A31">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174" w:type="dxa"/>
            <w:shd w:val="clear" w:color="auto" w:fill="002060"/>
          </w:tcPr>
          <w:p w14:paraId="58E18863" w14:textId="4B258690" w:rsidR="00932EF0" w:rsidRPr="00640D01" w:rsidRDefault="00932EF0" w:rsidP="00B815B4">
            <w:pPr>
              <w:pStyle w:val="TableHeader"/>
              <w:rPr>
                <w:rFonts w:eastAsia="Times New Roman"/>
                <w:b/>
                <w:bCs/>
              </w:rPr>
            </w:pPr>
            <w:r w:rsidRPr="00176A31">
              <w:rPr>
                <w:b/>
                <w:bCs/>
              </w:rPr>
              <w:t>Vehicle Registration</w:t>
            </w:r>
            <w:r w:rsidR="00A6656F" w:rsidRPr="00640D01">
              <w:rPr>
                <w:b/>
                <w:bCs/>
                <w:vertAlign w:val="superscript"/>
              </w:rPr>
              <w:t>*</w:t>
            </w:r>
            <w:r w:rsidRPr="00176A31">
              <w:rPr>
                <w:b/>
                <w:bCs/>
              </w:rPr>
              <w:t xml:space="preserve"> Aggregation</w:t>
            </w:r>
          </w:p>
        </w:tc>
        <w:tc>
          <w:tcPr>
            <w:tcW w:w="0" w:type="auto"/>
            <w:shd w:val="clear" w:color="auto" w:fill="002060"/>
          </w:tcPr>
          <w:p w14:paraId="5F3A10E9" w14:textId="79A82956" w:rsidR="00932EF0" w:rsidRPr="00640D01" w:rsidRDefault="00932EF0" w:rsidP="00B815B4">
            <w:pPr>
              <w:pStyle w:val="TableHeader"/>
              <w:cnfStyle w:val="100000000000" w:firstRow="1" w:lastRow="0" w:firstColumn="0" w:lastColumn="0" w:oddVBand="0" w:evenVBand="0" w:oddHBand="0" w:evenHBand="0" w:firstRowFirstColumn="0" w:firstRowLastColumn="0" w:lastRowFirstColumn="0" w:lastRowLastColumn="0"/>
              <w:rPr>
                <w:rFonts w:eastAsia="Times New Roman"/>
                <w:b/>
                <w:bCs/>
              </w:rPr>
            </w:pPr>
            <w:r w:rsidRPr="00176A31">
              <w:rPr>
                <w:b/>
                <w:bCs/>
              </w:rPr>
              <w:t>Associated Vehicle Type</w:t>
            </w:r>
            <w:r w:rsidR="00A6656F" w:rsidRPr="00640D01">
              <w:rPr>
                <w:b/>
                <w:bCs/>
                <w:vertAlign w:val="superscript"/>
              </w:rPr>
              <w:t>**</w:t>
            </w:r>
          </w:p>
        </w:tc>
      </w:tr>
      <w:tr w:rsidR="00662EF1" w:rsidRPr="00640D01" w14:paraId="0D4839EF" w14:textId="77777777" w:rsidTr="00176A31">
        <w:trPr>
          <w:trHeight w:val="317"/>
        </w:trPr>
        <w:tc>
          <w:tcPr>
            <w:cnfStyle w:val="001000000000" w:firstRow="0" w:lastRow="0" w:firstColumn="1" w:lastColumn="0" w:oddVBand="0" w:evenVBand="0" w:oddHBand="0" w:evenHBand="0" w:firstRowFirstColumn="0" w:firstRowLastColumn="0" w:lastRowFirstColumn="0" w:lastRowLastColumn="0"/>
            <w:tcW w:w="3174" w:type="dxa"/>
          </w:tcPr>
          <w:p w14:paraId="256845AD" w14:textId="460F0837" w:rsidR="00662EF1" w:rsidRPr="00640D01" w:rsidRDefault="00662EF1" w:rsidP="00B815B4">
            <w:pPr>
              <w:pStyle w:val="TableText"/>
              <w:rPr>
                <w:rFonts w:eastAsia="Times New Roman"/>
              </w:rPr>
            </w:pPr>
            <w:r w:rsidRPr="00640D01">
              <w:t>Motorcycles</w:t>
            </w:r>
          </w:p>
        </w:tc>
        <w:tc>
          <w:tcPr>
            <w:tcW w:w="0" w:type="auto"/>
          </w:tcPr>
          <w:p w14:paraId="2C45CFF8" w14:textId="241202B1" w:rsidR="00662EF1" w:rsidRPr="00640D01" w:rsidRDefault="00662EF1" w:rsidP="00B815B4">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rsidRPr="00640D01">
              <w:t>MC_Gas</w:t>
            </w:r>
          </w:p>
        </w:tc>
      </w:tr>
      <w:tr w:rsidR="00662EF1" w:rsidRPr="00640D01" w14:paraId="026A8E62" w14:textId="77777777" w:rsidTr="00176A31">
        <w:trPr>
          <w:trHeight w:val="317"/>
        </w:trPr>
        <w:tc>
          <w:tcPr>
            <w:cnfStyle w:val="001000000000" w:firstRow="0" w:lastRow="0" w:firstColumn="1" w:lastColumn="0" w:oddVBand="0" w:evenVBand="0" w:oddHBand="0" w:evenHBand="0" w:firstRowFirstColumn="0" w:firstRowLastColumn="0" w:lastRowFirstColumn="0" w:lastRowLastColumn="0"/>
            <w:tcW w:w="3174" w:type="dxa"/>
          </w:tcPr>
          <w:p w14:paraId="26E33B53" w14:textId="4346BF14" w:rsidR="00662EF1" w:rsidRPr="00640D01" w:rsidRDefault="00662EF1" w:rsidP="00B815B4">
            <w:pPr>
              <w:pStyle w:val="TableText"/>
              <w:rPr>
                <w:rFonts w:eastAsia="Times New Roman"/>
              </w:rPr>
            </w:pPr>
            <w:r w:rsidRPr="00640D01">
              <w:t xml:space="preserve">Passenger </w:t>
            </w:r>
            <w:r w:rsidR="0012212C" w:rsidRPr="00640D01">
              <w:t xml:space="preserve">cars </w:t>
            </w:r>
          </w:p>
        </w:tc>
        <w:tc>
          <w:tcPr>
            <w:tcW w:w="0" w:type="auto"/>
          </w:tcPr>
          <w:p w14:paraId="7667AD26" w14:textId="22F91A24" w:rsidR="00662EF1" w:rsidRPr="00640D01" w:rsidRDefault="00662EF1" w:rsidP="00B815B4">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rsidRPr="00640D01">
              <w:t>PC_Gas; PC_Diesel; PC_Electricity</w:t>
            </w:r>
          </w:p>
        </w:tc>
      </w:tr>
      <w:tr w:rsidR="00662EF1" w:rsidRPr="00640D01" w14:paraId="3635ED3C" w14:textId="77777777" w:rsidTr="00176A31">
        <w:trPr>
          <w:trHeight w:val="317"/>
        </w:trPr>
        <w:tc>
          <w:tcPr>
            <w:cnfStyle w:val="001000000000" w:firstRow="0" w:lastRow="0" w:firstColumn="1" w:lastColumn="0" w:oddVBand="0" w:evenVBand="0" w:oddHBand="0" w:evenHBand="0" w:firstRowFirstColumn="0" w:firstRowLastColumn="0" w:lastRowFirstColumn="0" w:lastRowLastColumn="0"/>
            <w:tcW w:w="3174" w:type="dxa"/>
          </w:tcPr>
          <w:p w14:paraId="4CE4F794" w14:textId="09CA597E" w:rsidR="00662EF1" w:rsidRPr="00640D01" w:rsidRDefault="00662EF1" w:rsidP="00B815B4">
            <w:pPr>
              <w:pStyle w:val="TableText"/>
              <w:rPr>
                <w:rFonts w:eastAsia="Times New Roman"/>
              </w:rPr>
            </w:pPr>
            <w:r w:rsidRPr="00640D01">
              <w:t xml:space="preserve">Trucks ≤ 8.5 K </w:t>
            </w:r>
            <w:r w:rsidR="0012212C" w:rsidRPr="00640D01">
              <w:t>gross vehicle weight rating (</w:t>
            </w:r>
            <w:r w:rsidRPr="00640D01">
              <w:t>GVWR</w:t>
            </w:r>
            <w:r w:rsidR="0012212C" w:rsidRPr="00640D01">
              <w:t>)</w:t>
            </w:r>
            <w:r w:rsidRPr="00640D01">
              <w:t xml:space="preserve"> (pounds)</w:t>
            </w:r>
          </w:p>
        </w:tc>
        <w:tc>
          <w:tcPr>
            <w:tcW w:w="0" w:type="auto"/>
          </w:tcPr>
          <w:p w14:paraId="4B99BE58" w14:textId="77777777" w:rsidR="00662EF1" w:rsidRPr="00640D01" w:rsidRDefault="00662EF1" w:rsidP="00B815B4">
            <w:pPr>
              <w:pStyle w:val="TableText"/>
              <w:cnfStyle w:val="000000000000" w:firstRow="0" w:lastRow="0" w:firstColumn="0" w:lastColumn="0" w:oddVBand="0" w:evenVBand="0" w:oddHBand="0" w:evenHBand="0" w:firstRowFirstColumn="0" w:firstRowLastColumn="0" w:lastRowFirstColumn="0" w:lastRowLastColumn="0"/>
            </w:pPr>
            <w:r w:rsidRPr="00640D01">
              <w:t>PT_Gas; PT_Diesel; PT_Electricity</w:t>
            </w:r>
          </w:p>
          <w:p w14:paraId="5DEBB2C4" w14:textId="0C1D3F68" w:rsidR="00662EF1" w:rsidRPr="00640D01" w:rsidRDefault="00662EF1" w:rsidP="00B815B4">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rsidRPr="00640D01">
              <w:t>LCT_Gas; LCT_Diesel; LCT_Electricity</w:t>
            </w:r>
          </w:p>
        </w:tc>
      </w:tr>
      <w:tr w:rsidR="00662EF1" w:rsidRPr="00640D01" w14:paraId="32ACEAD9" w14:textId="77777777" w:rsidTr="00176A31">
        <w:trPr>
          <w:trHeight w:val="317"/>
        </w:trPr>
        <w:tc>
          <w:tcPr>
            <w:cnfStyle w:val="001000000000" w:firstRow="0" w:lastRow="0" w:firstColumn="1" w:lastColumn="0" w:oddVBand="0" w:evenVBand="0" w:oddHBand="0" w:evenHBand="0" w:firstRowFirstColumn="0" w:firstRowLastColumn="0" w:lastRowFirstColumn="0" w:lastRowLastColumn="0"/>
            <w:tcW w:w="3174" w:type="dxa"/>
          </w:tcPr>
          <w:p w14:paraId="4DDADD14" w14:textId="3983425A" w:rsidR="00662EF1" w:rsidRPr="00640D01" w:rsidRDefault="00662EF1" w:rsidP="00B815B4">
            <w:pPr>
              <w:pStyle w:val="TableText"/>
              <w:rPr>
                <w:rFonts w:eastAsia="Times New Roman"/>
              </w:rPr>
            </w:pPr>
            <w:r w:rsidRPr="00640D01">
              <w:t>Trucks &gt; 8.5 and ≤ 19.5 K GVWR</w:t>
            </w:r>
          </w:p>
        </w:tc>
        <w:tc>
          <w:tcPr>
            <w:tcW w:w="0" w:type="auto"/>
          </w:tcPr>
          <w:p w14:paraId="27374C5C" w14:textId="591623CA" w:rsidR="00662EF1" w:rsidRPr="00640D01" w:rsidRDefault="00662EF1" w:rsidP="00B815B4">
            <w:pPr>
              <w:pStyle w:val="TableText"/>
              <w:cnfStyle w:val="000000000000" w:firstRow="0" w:lastRow="0" w:firstColumn="0" w:lastColumn="0" w:oddVBand="0" w:evenVBand="0" w:oddHBand="0" w:evenHBand="0" w:firstRowFirstColumn="0" w:firstRowLastColumn="0" w:lastRowFirstColumn="0" w:lastRowLastColumn="0"/>
            </w:pPr>
            <w:r w:rsidRPr="00640D01">
              <w:t>RT_Gas; RT_Diesel; RT_Electricity</w:t>
            </w:r>
          </w:p>
          <w:p w14:paraId="0F793EF7" w14:textId="4167E043" w:rsidR="00662EF1" w:rsidRPr="00640D01" w:rsidRDefault="00662EF1" w:rsidP="00B815B4">
            <w:pPr>
              <w:pStyle w:val="TableText"/>
              <w:cnfStyle w:val="000000000000" w:firstRow="0" w:lastRow="0" w:firstColumn="0" w:lastColumn="0" w:oddVBand="0" w:evenVBand="0" w:oddHBand="0" w:evenHBand="0" w:firstRowFirstColumn="0" w:firstRowLastColumn="0" w:lastRowFirstColumn="0" w:lastRowLastColumn="0"/>
            </w:pPr>
            <w:r w:rsidRPr="00640D01">
              <w:t>SUShT_Gas; SUShT_Diesel; SUShT_Electricity</w:t>
            </w:r>
          </w:p>
          <w:p w14:paraId="39713F88" w14:textId="4913490D" w:rsidR="00662EF1" w:rsidRPr="00640D01" w:rsidRDefault="00662EF1" w:rsidP="00B815B4">
            <w:pPr>
              <w:pStyle w:val="TableText"/>
              <w:cnfStyle w:val="000000000000" w:firstRow="0" w:lastRow="0" w:firstColumn="0" w:lastColumn="0" w:oddVBand="0" w:evenVBand="0" w:oddHBand="0" w:evenHBand="0" w:firstRowFirstColumn="0" w:firstRowLastColumn="0" w:lastRowFirstColumn="0" w:lastRowLastColumn="0"/>
            </w:pPr>
            <w:r w:rsidRPr="00640D01">
              <w:t>MH_Gas; MH_Diesel; MH_Electricity</w:t>
            </w:r>
          </w:p>
          <w:p w14:paraId="489F07EB" w14:textId="03E641FB" w:rsidR="00662EF1" w:rsidRPr="00640D01" w:rsidRDefault="00662EF1" w:rsidP="00B815B4">
            <w:pPr>
              <w:pStyle w:val="TableText"/>
              <w:cnfStyle w:val="000000000000" w:firstRow="0" w:lastRow="0" w:firstColumn="0" w:lastColumn="0" w:oddVBand="0" w:evenVBand="0" w:oddHBand="0" w:evenHBand="0" w:firstRowFirstColumn="0" w:firstRowLastColumn="0" w:lastRowFirstColumn="0" w:lastRowLastColumn="0"/>
            </w:pPr>
            <w:r w:rsidRPr="00640D01">
              <w:t>Obus_Gas; Obus_Diesel; Obus_Electricity</w:t>
            </w:r>
          </w:p>
          <w:p w14:paraId="17FF8F1A" w14:textId="337DEDE3" w:rsidR="00662EF1" w:rsidRPr="00640D01" w:rsidRDefault="00662EF1" w:rsidP="00B815B4">
            <w:pPr>
              <w:pStyle w:val="TableText"/>
              <w:cnfStyle w:val="000000000000" w:firstRow="0" w:lastRow="0" w:firstColumn="0" w:lastColumn="0" w:oddVBand="0" w:evenVBand="0" w:oddHBand="0" w:evenHBand="0" w:firstRowFirstColumn="0" w:firstRowLastColumn="0" w:lastRowFirstColumn="0" w:lastRowLastColumn="0"/>
            </w:pPr>
            <w:r w:rsidRPr="00640D01">
              <w:t>TBus_Gas; TBus_Diesel; TBus_Electricity</w:t>
            </w:r>
          </w:p>
          <w:p w14:paraId="16400FDA" w14:textId="011BDDAF" w:rsidR="00662EF1" w:rsidRPr="00640D01" w:rsidRDefault="00662EF1" w:rsidP="00B815B4">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rsidRPr="00640D01">
              <w:t>SBus_Gas; SBus_Diesel; SBus_Electricity</w:t>
            </w:r>
          </w:p>
        </w:tc>
      </w:tr>
      <w:tr w:rsidR="00662EF1" w:rsidRPr="00640D01" w14:paraId="0C48F818" w14:textId="77777777" w:rsidTr="00176A31">
        <w:trPr>
          <w:trHeight w:val="317"/>
        </w:trPr>
        <w:tc>
          <w:tcPr>
            <w:cnfStyle w:val="001000000000" w:firstRow="0" w:lastRow="0" w:firstColumn="1" w:lastColumn="0" w:oddVBand="0" w:evenVBand="0" w:oddHBand="0" w:evenHBand="0" w:firstRowFirstColumn="0" w:firstRowLastColumn="0" w:lastRowFirstColumn="0" w:lastRowLastColumn="0"/>
            <w:tcW w:w="3174" w:type="dxa"/>
          </w:tcPr>
          <w:p w14:paraId="2EBA59B4" w14:textId="078CA52D" w:rsidR="00662EF1" w:rsidRPr="00640D01" w:rsidRDefault="00662EF1" w:rsidP="00B815B4">
            <w:pPr>
              <w:pStyle w:val="TableText"/>
              <w:rPr>
                <w:rFonts w:eastAsia="Times New Roman"/>
              </w:rPr>
            </w:pPr>
            <w:r w:rsidRPr="00640D01">
              <w:t>Trucks &gt; 19.5 K GVWR</w:t>
            </w:r>
          </w:p>
        </w:tc>
        <w:tc>
          <w:tcPr>
            <w:tcW w:w="0" w:type="auto"/>
          </w:tcPr>
          <w:p w14:paraId="3E10242F" w14:textId="2514293D" w:rsidR="00662EF1" w:rsidRPr="00640D01" w:rsidRDefault="00662EF1" w:rsidP="00B815B4">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rsidRPr="00640D01">
              <w:t>CShT_Gas; CShT_Diesel; CShT_Electricity</w:t>
            </w:r>
          </w:p>
        </w:tc>
      </w:tr>
      <w:tr w:rsidR="00662EF1" w:rsidRPr="00640D01" w14:paraId="3D646AAE" w14:textId="77777777" w:rsidTr="00176A31">
        <w:trPr>
          <w:trHeight w:val="317"/>
        </w:trPr>
        <w:tc>
          <w:tcPr>
            <w:cnfStyle w:val="001000000000" w:firstRow="0" w:lastRow="0" w:firstColumn="1" w:lastColumn="0" w:oddVBand="0" w:evenVBand="0" w:oddHBand="0" w:evenHBand="0" w:firstRowFirstColumn="0" w:firstRowLastColumn="0" w:lastRowFirstColumn="0" w:lastRowLastColumn="0"/>
            <w:tcW w:w="3174" w:type="dxa"/>
          </w:tcPr>
          <w:p w14:paraId="66625C1A" w14:textId="4A44E647" w:rsidR="00662EF1" w:rsidRPr="00640D01" w:rsidRDefault="00A6656F" w:rsidP="00B815B4">
            <w:pPr>
              <w:pStyle w:val="TableText"/>
            </w:pPr>
            <w:r w:rsidRPr="00640D01">
              <w:t>NA</w:t>
            </w:r>
            <w:r w:rsidRPr="00640D01">
              <w:rPr>
                <w:vertAlign w:val="superscript"/>
              </w:rPr>
              <w:t>*</w:t>
            </w:r>
          </w:p>
        </w:tc>
        <w:tc>
          <w:tcPr>
            <w:tcW w:w="0" w:type="auto"/>
          </w:tcPr>
          <w:p w14:paraId="0C3EE3DA" w14:textId="50431B54" w:rsidR="00662EF1" w:rsidRPr="00640D01" w:rsidRDefault="00662EF1" w:rsidP="00B815B4">
            <w:pPr>
              <w:pStyle w:val="TableText"/>
              <w:cnfStyle w:val="000000000000" w:firstRow="0" w:lastRow="0" w:firstColumn="0" w:lastColumn="0" w:oddVBand="0" w:evenVBand="0" w:oddHBand="0" w:evenHBand="0" w:firstRowFirstColumn="0" w:firstRowLastColumn="0" w:lastRowFirstColumn="0" w:lastRowLastColumn="0"/>
            </w:pPr>
            <w:r w:rsidRPr="00640D01">
              <w:t>SULhT_Gas; SULhT_Diesel; SULhT_Electricity</w:t>
            </w:r>
          </w:p>
          <w:p w14:paraId="12A775F1" w14:textId="397C4C78" w:rsidR="00662EF1" w:rsidRPr="00640D01" w:rsidRDefault="00662EF1" w:rsidP="00B815B4">
            <w:pPr>
              <w:pStyle w:val="TableText"/>
              <w:cnfStyle w:val="000000000000" w:firstRow="0" w:lastRow="0" w:firstColumn="0" w:lastColumn="0" w:oddVBand="0" w:evenVBand="0" w:oddHBand="0" w:evenHBand="0" w:firstRowFirstColumn="0" w:firstRowLastColumn="0" w:lastRowFirstColumn="0" w:lastRowLastColumn="0"/>
            </w:pPr>
            <w:r w:rsidRPr="00640D01">
              <w:t>CLhT_Gas; CLhT_Diesel; CShT_Electricity</w:t>
            </w:r>
          </w:p>
        </w:tc>
      </w:tr>
    </w:tbl>
    <w:p w14:paraId="505D5DAA" w14:textId="708E6119" w:rsidR="00932EF0" w:rsidRPr="00640D01" w:rsidRDefault="00A6656F" w:rsidP="00176A31">
      <w:pPr>
        <w:pStyle w:val="TableNote"/>
        <w:ind w:left="1260" w:right="990" w:hanging="270"/>
      </w:pPr>
      <w:r w:rsidRPr="00176A31">
        <w:t>*</w:t>
      </w:r>
      <w:r w:rsidR="00B815B4" w:rsidRPr="00640D01">
        <w:tab/>
      </w:r>
      <w:r w:rsidR="00662EF1" w:rsidRPr="00640D01">
        <w:t xml:space="preserve">The four long-haul </w:t>
      </w:r>
      <w:r w:rsidR="00656102" w:rsidRPr="00640D01">
        <w:t xml:space="preserve">source use type </w:t>
      </w:r>
      <w:r w:rsidR="0012212C" w:rsidRPr="00640D01">
        <w:t>(</w:t>
      </w:r>
      <w:r w:rsidR="00662EF1" w:rsidRPr="00640D01">
        <w:t>SUT</w:t>
      </w:r>
      <w:r w:rsidR="0012212C" w:rsidRPr="00640D01">
        <w:t>)</w:t>
      </w:r>
      <w:r w:rsidR="00662EF1" w:rsidRPr="00640D01">
        <w:t>/fuel type populations are estimated using a long-haul-to-short-haul weekday SUT VMT mix ratio applied to the short-haul SUT population estimate.</w:t>
      </w:r>
    </w:p>
    <w:p w14:paraId="28DF3566" w14:textId="78E5AA69" w:rsidR="00932EF0" w:rsidRPr="00640D01" w:rsidRDefault="00A6656F" w:rsidP="00176A31">
      <w:pPr>
        <w:pStyle w:val="TableNote"/>
        <w:ind w:left="1260" w:right="990" w:hanging="270"/>
      </w:pPr>
      <w:r w:rsidRPr="00176A31">
        <w:t>**</w:t>
      </w:r>
      <w:r w:rsidR="00B815B4" w:rsidRPr="00640D01">
        <w:rPr>
          <w:vertAlign w:val="superscript"/>
        </w:rPr>
        <w:tab/>
      </w:r>
      <w:r w:rsidR="00662EF1" w:rsidRPr="00640D01">
        <w:t>The year-end TxDMV county registrations data extracts were used (i.e., the three-file dataset consisting of light-duty cars, trucks, and motorcycles; heavy-duty diesel trucks; and heavy-duty gasoline trucks) for estimating the vehicle populations.</w:t>
      </w:r>
    </w:p>
    <w:p w14:paraId="40F89580" w14:textId="1DC77B47" w:rsidR="00662EF1" w:rsidRPr="00640D01" w:rsidRDefault="00662EF1" w:rsidP="00B815B4">
      <w:pPr>
        <w:pStyle w:val="ListNumber"/>
      </w:pPr>
      <w:r w:rsidRPr="00640D01">
        <w:t xml:space="preserve">The proportional fractions calculated in </w:t>
      </w:r>
      <w:r w:rsidR="00E92FBF" w:rsidRPr="00640D01">
        <w:t>s</w:t>
      </w:r>
      <w:r w:rsidRPr="00640D01">
        <w:t>tep 1 were multiplied by the total number of vehicles reported in each TxDMV vehicle registration category to obtain the estimated number of vehicles (populations) for each modeled MOVES vehicle type.</w:t>
      </w:r>
    </w:p>
    <w:p w14:paraId="1728FA0B" w14:textId="6A7736CE" w:rsidR="00D727FF" w:rsidRPr="00640D01" w:rsidRDefault="0012212C" w:rsidP="00B815B4">
      <w:pPr>
        <w:pStyle w:val="BodyText"/>
      </w:pPr>
      <w:r w:rsidRPr="00640D01">
        <w:t>Analysis-</w:t>
      </w:r>
      <w:r w:rsidR="00932EF0" w:rsidRPr="00640D01">
        <w:t xml:space="preserve">year vehicle type populations were then calculated by applying a vehicle </w:t>
      </w:r>
      <w:r w:rsidR="00D727FF" w:rsidRPr="00640D01">
        <w:t>type of</w:t>
      </w:r>
      <w:r w:rsidR="00932EF0" w:rsidRPr="00640D01">
        <w:t xml:space="preserve"> population growth factor (VPGF). The VPGF was calculated using county-level HPMS</w:t>
      </w:r>
      <w:r w:rsidR="00387F17" w:rsidRPr="00640D01">
        <w:t>-</w:t>
      </w:r>
      <w:r w:rsidR="00932EF0" w:rsidRPr="00640D01">
        <w:t>reported total VMT for the registration data year (</w:t>
      </w:r>
      <w:r w:rsidR="00932EF0" w:rsidRPr="00176A31">
        <w:rPr>
          <w:color w:val="7030A0"/>
        </w:rPr>
        <w:t>[</w:t>
      </w:r>
      <w:r w:rsidR="001A12E8" w:rsidRPr="00640D01">
        <w:rPr>
          <w:b/>
          <w:bCs/>
          <w:color w:val="7030A0"/>
        </w:rPr>
        <w:t>registration data year</w:t>
      </w:r>
      <w:r w:rsidR="001A12E8" w:rsidRPr="00176A31">
        <w:rPr>
          <w:color w:val="7030A0"/>
        </w:rPr>
        <w:t>]</w:t>
      </w:r>
      <w:r w:rsidR="00932EF0" w:rsidRPr="00640D01">
        <w:t>) and each analysis year.</w:t>
      </w:r>
    </w:p>
    <w:p w14:paraId="6AAE7BBF" w14:textId="5E3440F9" w:rsidR="00836FEB" w:rsidRPr="00640D01" w:rsidRDefault="00836FEB" w:rsidP="00836FEB">
      <w:pPr>
        <w:pStyle w:val="Heading3"/>
      </w:pPr>
      <w:bookmarkStart w:id="88" w:name="_Toc190242720"/>
      <w:r w:rsidRPr="00640D01">
        <w:t>Off-</w:t>
      </w:r>
      <w:r w:rsidR="008753A7" w:rsidRPr="00640D01">
        <w:t>N</w:t>
      </w:r>
      <w:r w:rsidRPr="00640D01">
        <w:t xml:space="preserve">etwork </w:t>
      </w:r>
      <w:r w:rsidR="008753A7" w:rsidRPr="00640D01">
        <w:t>I</w:t>
      </w:r>
      <w:r w:rsidRPr="00640D01">
        <w:t>dling Hours</w:t>
      </w:r>
      <w:bookmarkEnd w:id="88"/>
    </w:p>
    <w:p w14:paraId="42CE4DC4" w14:textId="0A112B0B" w:rsidR="00836FEB" w:rsidRPr="00640D01" w:rsidRDefault="00836FEB" w:rsidP="00B815B4">
      <w:pPr>
        <w:pStyle w:val="BodyText"/>
      </w:pPr>
      <w:r w:rsidRPr="00640D01">
        <w:t xml:space="preserve">Off-network idling (ONI) is </w:t>
      </w:r>
      <w:r w:rsidR="00984CE8" w:rsidRPr="00640D01">
        <w:t xml:space="preserve">an </w:t>
      </w:r>
      <w:r w:rsidRPr="00640D01">
        <w:t xml:space="preserve">idling activity that occurs while a vehicle is idling in a parking lot, drive-through, </w:t>
      </w:r>
      <w:r w:rsidR="00A20FD2" w:rsidRPr="00640D01">
        <w:t xml:space="preserve">or </w:t>
      </w:r>
      <w:r w:rsidRPr="00640D01">
        <w:t xml:space="preserve">driveway while waiting to pick up passengers or loading/unloading cargo. ONI applies to all MOVES source types. </w:t>
      </w:r>
    </w:p>
    <w:p w14:paraId="7F8A29F2" w14:textId="5F9F4077" w:rsidR="00836FEB" w:rsidRPr="00640D01" w:rsidRDefault="00836FEB" w:rsidP="00B815B4">
      <w:pPr>
        <w:pStyle w:val="BodyText"/>
      </w:pPr>
      <w:r w:rsidRPr="00640D01">
        <w:t>TTI estimates ONI hours activity (i.e., SHI off-network) for each hour of the day using the following formula</w:t>
      </w:r>
      <w:r w:rsidR="00A20FD2" w:rsidRPr="00640D01">
        <w:t>:</w:t>
      </w:r>
    </w:p>
    <w:p w14:paraId="72782FA2" w14:textId="77777777" w:rsidR="00836FEB" w:rsidRPr="00640D01" w:rsidRDefault="00836FEB" w:rsidP="00B815B4">
      <w:pPr>
        <w:pStyle w:val="BodyText"/>
      </w:pPr>
      <m:oMathPara>
        <m:oMath>
          <m:r>
            <w:rPr>
              <w:rFonts w:ascii="Cambria Math" w:hAnsi="Cambria Math"/>
            </w:rPr>
            <m:t>ONI</m:t>
          </m:r>
          <m:r>
            <m:rPr>
              <m:sty m:val="p"/>
            </m:rPr>
            <w:rPr>
              <w:rFonts w:ascii="Cambria Math" w:hAnsi="Cambria Math"/>
            </w:rPr>
            <m:t xml:space="preserve"> </m:t>
          </m:r>
          <m:r>
            <w:rPr>
              <w:rFonts w:ascii="Cambria Math" w:hAnsi="Cambria Math"/>
            </w:rPr>
            <m:t>Hours</m:t>
          </m:r>
          <m:r>
            <m:rPr>
              <m:sty m:val="p"/>
            </m:rPr>
            <w:rPr>
              <w:rFonts w:ascii="Cambria Math" w:hAnsi="Cambria Math"/>
            </w:rPr>
            <m:t>=(</m:t>
          </m:r>
          <m:r>
            <w:rPr>
              <w:rFonts w:ascii="Cambria Math" w:hAnsi="Cambria Math"/>
            </w:rPr>
            <m:t>SH</m:t>
          </m:r>
          <m:sSub>
            <m:sSubPr>
              <m:ctrlPr>
                <w:rPr>
                  <w:rFonts w:ascii="Cambria Math" w:hAnsi="Cambria Math"/>
                </w:rPr>
              </m:ctrlPr>
            </m:sSubPr>
            <m:e>
              <m:r>
                <w:rPr>
                  <w:rFonts w:ascii="Cambria Math" w:hAnsi="Cambria Math"/>
                </w:rPr>
                <m:t>O</m:t>
              </m:r>
            </m:e>
            <m:sub>
              <m:r>
                <w:rPr>
                  <w:rFonts w:ascii="Cambria Math" w:hAnsi="Cambria Math"/>
                </w:rPr>
                <m:t>network</m:t>
              </m:r>
            </m:sub>
          </m:sSub>
          <m:r>
            <m:rPr>
              <m:sty m:val="p"/>
            </m:rPr>
            <w:rPr>
              <w:rFonts w:ascii="Cambria Math" w:hAnsi="Cambria Math"/>
            </w:rPr>
            <m:t xml:space="preserve"> × </m:t>
          </m:r>
          <m:r>
            <w:rPr>
              <w:rFonts w:ascii="Cambria Math" w:hAnsi="Cambria Math"/>
            </w:rPr>
            <m:t>TIF</m:t>
          </m:r>
          <m:r>
            <m:rPr>
              <m:sty m:val="p"/>
            </m:rPr>
            <w:rPr>
              <w:rFonts w:ascii="Cambria Math" w:hAnsi="Cambria Math"/>
            </w:rPr>
            <m:t>-</m:t>
          </m:r>
          <m:r>
            <w:rPr>
              <w:rFonts w:ascii="Cambria Math" w:hAnsi="Cambria Math"/>
            </w:rPr>
            <m:t>SH</m:t>
          </m:r>
          <m:sSub>
            <m:sSubPr>
              <m:ctrlPr>
                <w:rPr>
                  <w:rFonts w:ascii="Cambria Math" w:hAnsi="Cambria Math"/>
                </w:rPr>
              </m:ctrlPr>
            </m:sSubPr>
            <m:e>
              <m:r>
                <w:rPr>
                  <w:rFonts w:ascii="Cambria Math" w:hAnsi="Cambria Math"/>
                </w:rPr>
                <m:t>I</m:t>
              </m:r>
            </m:e>
            <m:sub>
              <m:r>
                <w:rPr>
                  <w:rFonts w:ascii="Cambria Math" w:hAnsi="Cambria Math"/>
                </w:rPr>
                <m:t>network</m:t>
              </m:r>
            </m:sub>
          </m:sSub>
          <m:r>
            <m:rPr>
              <m:sty m:val="p"/>
            </m:rPr>
            <w:rPr>
              <w:rFonts w:ascii="Cambria Math" w:hAnsi="Cambria Math"/>
            </w:rPr>
            <m:t>)/(1-</m:t>
          </m:r>
          <m:r>
            <w:rPr>
              <w:rFonts w:ascii="Cambria Math" w:hAnsi="Cambria Math"/>
            </w:rPr>
            <m:t>TIF</m:t>
          </m:r>
          <m:r>
            <m:rPr>
              <m:sty m:val="p"/>
            </m:rPr>
            <w:rPr>
              <w:rFonts w:ascii="Cambria Math" w:hAnsi="Cambria Math"/>
            </w:rPr>
            <m:t>)</m:t>
          </m:r>
        </m:oMath>
      </m:oMathPara>
    </w:p>
    <w:p w14:paraId="07C84A79" w14:textId="77777777" w:rsidR="00836FEB" w:rsidRPr="00640D01" w:rsidRDefault="00836FEB" w:rsidP="00176A31">
      <w:pPr>
        <w:pStyle w:val="BodyText"/>
        <w:keepNext/>
        <w:rPr>
          <w:rFonts w:eastAsiaTheme="minorEastAsia"/>
        </w:rPr>
      </w:pPr>
      <w:r w:rsidRPr="00640D01">
        <w:lastRenderedPageBreak/>
        <w:t xml:space="preserve">Where: </w:t>
      </w:r>
    </w:p>
    <w:p w14:paraId="29DDB7BC" w14:textId="7B79004D" w:rsidR="00836FEB" w:rsidRPr="00640D01" w:rsidRDefault="00836FEB" w:rsidP="00176A31">
      <w:pPr>
        <w:pStyle w:val="ListBullet"/>
      </w:pPr>
      <m:oMath>
        <m:r>
          <w:rPr>
            <w:rFonts w:ascii="Cambria Math" w:hAnsi="Cambria Math"/>
          </w:rPr>
          <m:t>SH</m:t>
        </m:r>
        <m:sSub>
          <m:sSubPr>
            <m:ctrlPr>
              <w:rPr>
                <w:rFonts w:ascii="Cambria Math" w:hAnsi="Cambria Math"/>
              </w:rPr>
            </m:ctrlPr>
          </m:sSubPr>
          <m:e>
            <m:r>
              <w:rPr>
                <w:rFonts w:ascii="Cambria Math" w:hAnsi="Cambria Math"/>
              </w:rPr>
              <m:t>O</m:t>
            </m:r>
          </m:e>
          <m:sub>
            <m:r>
              <w:rPr>
                <w:rFonts w:ascii="Cambria Math" w:hAnsi="Cambria Math"/>
              </w:rPr>
              <m:t>network</m:t>
            </m:r>
          </m:sub>
        </m:sSub>
      </m:oMath>
      <w:r w:rsidRPr="00640D01">
        <w:t xml:space="preserve"> is the source hours operating</w:t>
      </w:r>
      <w:r w:rsidR="00A20FD2" w:rsidRPr="00640D01">
        <w:t xml:space="preserve"> (SHO)</w:t>
      </w:r>
      <w:r w:rsidRPr="00640D01">
        <w:t xml:space="preserve"> on each link. This is calculated by dividing the VMT associated with each link by the link’s congested speed. </w:t>
      </w:r>
    </w:p>
    <w:p w14:paraId="39DE6E7B" w14:textId="212BF4BC" w:rsidR="00836FEB" w:rsidRPr="00640D01" w:rsidRDefault="00836FEB" w:rsidP="00176A31">
      <w:pPr>
        <w:pStyle w:val="ListBullet"/>
      </w:pPr>
      <m:oMath>
        <m:r>
          <w:rPr>
            <w:rFonts w:ascii="Cambria Math" w:hAnsi="Cambria Math"/>
          </w:rPr>
          <m:t>SH</m:t>
        </m:r>
        <m:sSub>
          <m:sSubPr>
            <m:ctrlPr>
              <w:rPr>
                <w:rFonts w:ascii="Cambria Math" w:hAnsi="Cambria Math"/>
              </w:rPr>
            </m:ctrlPr>
          </m:sSubPr>
          <m:e>
            <m:r>
              <w:rPr>
                <w:rFonts w:ascii="Cambria Math" w:hAnsi="Cambria Math"/>
              </w:rPr>
              <m:t>I</m:t>
            </m:r>
          </m:e>
          <m:sub>
            <m:r>
              <w:rPr>
                <w:rFonts w:ascii="Cambria Math" w:hAnsi="Cambria Math"/>
              </w:rPr>
              <m:t>network</m:t>
            </m:r>
          </m:sub>
        </m:sSub>
      </m:oMath>
      <w:r w:rsidRPr="00640D01">
        <w:t xml:space="preserve"> is the total </w:t>
      </w:r>
      <w:r w:rsidR="00A20FD2" w:rsidRPr="00640D01">
        <w:t>SHI</w:t>
      </w:r>
      <w:r w:rsidRPr="00640D01">
        <w:t xml:space="preserve"> that occur</w:t>
      </w:r>
      <w:r w:rsidR="00A71F4B" w:rsidRPr="00640D01">
        <w:t>s</w:t>
      </w:r>
      <w:r w:rsidRPr="00640D01">
        <w:t xml:space="preserve"> on the network (idling that occurs as a component of drive cycles) and is calculated by multiplying </w:t>
      </w:r>
      <w:r w:rsidRPr="00176A31">
        <w:rPr>
          <w:i/>
          <w:iCs/>
        </w:rPr>
        <w:t>SHO</w:t>
      </w:r>
      <w:r w:rsidRPr="00176A31">
        <w:rPr>
          <w:i/>
          <w:iCs/>
          <w:vertAlign w:val="subscript"/>
        </w:rPr>
        <w:t>network</w:t>
      </w:r>
      <w:r w:rsidRPr="00640D01">
        <w:t xml:space="preserve"> by a road idle fraction (RIF). RIF is the proportion of idling (in units of time) that occurs within a drive</w:t>
      </w:r>
      <w:r w:rsidR="00A20FD2" w:rsidRPr="00640D01">
        <w:t xml:space="preserve"> </w:t>
      </w:r>
      <w:r w:rsidRPr="00640D01">
        <w:t>cycle at a specified operational speed. Default values for RIF were used as defined in the MOVES data table roadidlefraction</w:t>
      </w:r>
      <w:r w:rsidR="00A20FD2" w:rsidRPr="00640D01">
        <w:t>.</w:t>
      </w:r>
      <w:r w:rsidRPr="00640D01">
        <w:t xml:space="preserve"> </w:t>
      </w:r>
    </w:p>
    <w:p w14:paraId="3B0ED854" w14:textId="0DF235F8" w:rsidR="00836FEB" w:rsidRPr="00640D01" w:rsidRDefault="00836FEB" w:rsidP="00176A31">
      <w:pPr>
        <w:pStyle w:val="ListBullet"/>
      </w:pPr>
      <m:oMath>
        <m:r>
          <w:rPr>
            <w:rFonts w:ascii="Cambria Math" w:hAnsi="Cambria Math"/>
          </w:rPr>
          <m:t>TIF</m:t>
        </m:r>
      </m:oMath>
      <w:r w:rsidRPr="00640D01">
        <w:t xml:space="preserve"> is the total idle fraction or total idling time on</w:t>
      </w:r>
      <w:r w:rsidR="00A20FD2" w:rsidRPr="00640D01">
        <w:t>-</w:t>
      </w:r>
      <w:r w:rsidRPr="00640D01">
        <w:t xml:space="preserve"> and off-network divided by total SHO on</w:t>
      </w:r>
      <w:r w:rsidR="00A20FD2" w:rsidRPr="00640D01">
        <w:t>-</w:t>
      </w:r>
      <w:r w:rsidRPr="00640D01">
        <w:t xml:space="preserve"> and off-network: TIF = (SHI</w:t>
      </w:r>
      <w:r w:rsidRPr="00176A31">
        <w:rPr>
          <w:vertAlign w:val="subscript"/>
        </w:rPr>
        <w:t>network</w:t>
      </w:r>
      <w:r w:rsidRPr="00640D01">
        <w:t xml:space="preserve"> + ONI) / (SHO</w:t>
      </w:r>
      <w:r w:rsidRPr="00176A31">
        <w:rPr>
          <w:vertAlign w:val="subscript"/>
        </w:rPr>
        <w:t>network</w:t>
      </w:r>
      <w:r w:rsidR="00A20FD2" w:rsidRPr="00640D01">
        <w:t xml:space="preserve"> </w:t>
      </w:r>
      <w:r w:rsidRPr="00640D01">
        <w:t xml:space="preserve">+ ONI). Default values for </w:t>
      </w:r>
      <w:r w:rsidRPr="00176A31">
        <w:rPr>
          <w:i/>
          <w:iCs/>
        </w:rPr>
        <w:t>TIF</w:t>
      </w:r>
      <w:r w:rsidRPr="00640D01">
        <w:t xml:space="preserve"> were used as defined in the MOVES data table totalidlefraction</w:t>
      </w:r>
      <w:r w:rsidR="00A20FD2" w:rsidRPr="00640D01">
        <w:t>.</w:t>
      </w:r>
    </w:p>
    <w:p w14:paraId="6CF9A215" w14:textId="77777777" w:rsidR="00EF4674" w:rsidRPr="00640D01" w:rsidRDefault="00017A79" w:rsidP="00EF4674">
      <w:pPr>
        <w:pStyle w:val="Heading3"/>
      </w:pPr>
      <w:bookmarkStart w:id="89" w:name="_Toc190242721"/>
      <w:r w:rsidRPr="00640D01">
        <w:t>Source Hours Parked</w:t>
      </w:r>
      <w:bookmarkEnd w:id="89"/>
    </w:p>
    <w:p w14:paraId="10882B9C" w14:textId="187271D7" w:rsidR="00412157" w:rsidRPr="00640D01" w:rsidRDefault="00B0477B" w:rsidP="00B815B4">
      <w:pPr>
        <w:pStyle w:val="BodyText"/>
      </w:pPr>
      <w:r w:rsidRPr="00640D01">
        <w:t xml:space="preserve">The first activity measure needed to estimate the off-network emissions </w:t>
      </w:r>
      <w:r w:rsidR="00684C90" w:rsidRPr="00640D01">
        <w:t>is</w:t>
      </w:r>
      <w:r w:rsidRPr="00640D01">
        <w:t xml:space="preserve"> county-level estimates of SHP by hour and vehicle type. The SHP was estimated as a function of total hours (hours a vehicle exists) minus its hours of operation on roads (SHO is the same as </w:t>
      </w:r>
      <w:r w:rsidR="00C11658" w:rsidRPr="00640D01">
        <w:t xml:space="preserve">vehicle hours of travel </w:t>
      </w:r>
      <w:r w:rsidR="0068367F" w:rsidRPr="00640D01">
        <w:t>[</w:t>
      </w:r>
      <w:r w:rsidRPr="00640D01">
        <w:t>VHT</w:t>
      </w:r>
      <w:r w:rsidR="0068367F" w:rsidRPr="00640D01">
        <w:t>]</w:t>
      </w:r>
      <w:r w:rsidRPr="00640D01">
        <w:t xml:space="preserve">). </w:t>
      </w:r>
    </w:p>
    <w:p w14:paraId="6D1BA474" w14:textId="7985F9B4" w:rsidR="00412157" w:rsidRPr="00640D01" w:rsidRDefault="00B0477B" w:rsidP="00B815B4">
      <w:r w:rsidRPr="00640D01">
        <w:t xml:space="preserve">The </w:t>
      </w:r>
      <w:r w:rsidR="00C11658" w:rsidRPr="00640D01">
        <w:t>vehicle-</w:t>
      </w:r>
      <w:r w:rsidRPr="00640D01">
        <w:t xml:space="preserve">type SHP estimates were calculated for each hour of the day based on the link VMT and speeds, the VMT mix used in the link-based emissions analysis, and the vehicle population estimates. </w:t>
      </w:r>
    </w:p>
    <w:p w14:paraId="53D09132" w14:textId="5812CA1C" w:rsidR="00412157" w:rsidRPr="00640D01" w:rsidRDefault="00B0477B" w:rsidP="00B815B4">
      <w:pPr>
        <w:pStyle w:val="BodyText"/>
      </w:pPr>
      <w:r w:rsidRPr="00640D01">
        <w:t xml:space="preserve">The VMT mix was applied to the link VMT to produce VMT estimates by vehicle type. Link VMT was divided by the link speed to produce SHO estimates. SHO was aggregated across links </w:t>
      </w:r>
      <w:r w:rsidR="00684C90" w:rsidRPr="00640D01">
        <w:t xml:space="preserve">and </w:t>
      </w:r>
      <w:r w:rsidRPr="00640D01">
        <w:t xml:space="preserve">then subtracted from source hours (equal to </w:t>
      </w:r>
      <w:r w:rsidR="004A2F1F" w:rsidRPr="00640D01">
        <w:t xml:space="preserve">the </w:t>
      </w:r>
      <w:r w:rsidRPr="00640D01">
        <w:t xml:space="preserve">vehicle population since source hours equal </w:t>
      </w:r>
      <w:r w:rsidR="00684C90" w:rsidRPr="00640D01">
        <w:t xml:space="preserve">the </w:t>
      </w:r>
      <w:r w:rsidRPr="00640D01">
        <w:t>number of hours in the period)</w:t>
      </w:r>
      <w:r w:rsidR="00C11658" w:rsidRPr="00640D01">
        <w:t>,</w:t>
      </w:r>
      <w:r w:rsidRPr="00640D01">
        <w:t xml:space="preserve"> resulting in SHP estimates by vehicle type. This was performed for each analysis year, county, and hour of day</w:t>
      </w:r>
      <w:r w:rsidR="00412157" w:rsidRPr="00640D01">
        <w:t>.</w:t>
      </w:r>
    </w:p>
    <w:p w14:paraId="1A09E5DF" w14:textId="286F605D" w:rsidR="00017A79" w:rsidRPr="00640D01" w:rsidRDefault="00017A79" w:rsidP="00EF4674">
      <w:pPr>
        <w:pStyle w:val="Heading3"/>
      </w:pPr>
      <w:bookmarkStart w:id="90" w:name="_Toc190242722"/>
      <w:r w:rsidRPr="00640D01">
        <w:t>Starts</w:t>
      </w:r>
      <w:bookmarkEnd w:id="90"/>
    </w:p>
    <w:p w14:paraId="518A6D06" w14:textId="525F8839" w:rsidR="00EA4C3C" w:rsidRPr="00640D01" w:rsidRDefault="00316451" w:rsidP="00B815B4">
      <w:pPr>
        <w:pStyle w:val="BodyText"/>
      </w:pPr>
      <w:r w:rsidRPr="00640D01">
        <w:t xml:space="preserve">Vehicle starts were estimated using county-level </w:t>
      </w:r>
      <w:r w:rsidR="00B712C3" w:rsidRPr="00640D01">
        <w:t>vehicle-</w:t>
      </w:r>
      <w:r w:rsidRPr="00640D01">
        <w:t>type populations and data from MOVES representing the average number of starts per vehicle type per hour. The starts per vehicle were calculated using MOVES with data on the age distribution and fuel fractions of the local fleet.</w:t>
      </w:r>
    </w:p>
    <w:p w14:paraId="5551E263" w14:textId="6AC90020" w:rsidR="0024242D" w:rsidRPr="00640D01" w:rsidRDefault="006A5EEF" w:rsidP="00B815B4">
      <w:pPr>
        <w:pStyle w:val="BodyText"/>
      </w:pPr>
      <w:r w:rsidRPr="00640D01">
        <w:t xml:space="preserve">The starts per vehicle were calculated using MOVES with data on the age distribution and fuel fractions of the local fleet. TTI used local age distributions and fuel fractions </w:t>
      </w:r>
      <w:r w:rsidR="0024242D" w:rsidRPr="00640D01">
        <w:t xml:space="preserve">inputs to MOVES combined with MOVES default parameters (startsageadjustment, startsmonthadjust [June through August average], and startspervehicle) to produce hourly starts per vehicle output representative of the June through August summer period. The output was then post-processed to produce the scenario-specific starts per vehicle for the summer (or non-school) period defined by the study scope. </w:t>
      </w:r>
    </w:p>
    <w:p w14:paraId="48FF3F55" w14:textId="20DF2FA4" w:rsidR="000D6DC0" w:rsidRPr="00640D01" w:rsidRDefault="0024242D" w:rsidP="00B815B4">
      <w:pPr>
        <w:pStyle w:val="BodyText"/>
      </w:pPr>
      <w:r w:rsidRPr="00640D01">
        <w:t xml:space="preserve">MOVES was used to calculate starts per vehicle (i.e., the average number of starts per vehicle type per hour) for </w:t>
      </w:r>
      <w:r w:rsidR="00B712C3" w:rsidRPr="00640D01">
        <w:t xml:space="preserve">the </w:t>
      </w:r>
      <w:r w:rsidRPr="00640D01">
        <w:t xml:space="preserve">weekday day type for the June through August summer period. To produce </w:t>
      </w:r>
      <w:r w:rsidRPr="00640D01">
        <w:lastRenderedPageBreak/>
        <w:t xml:space="preserve">the scenario-specific non-school period (June </w:t>
      </w:r>
      <w:r w:rsidR="00B712C3" w:rsidRPr="00640D01">
        <w:t xml:space="preserve">10 </w:t>
      </w:r>
      <w:r w:rsidRPr="00640D01">
        <w:t>through August</w:t>
      </w:r>
      <w:r w:rsidR="00B712C3" w:rsidRPr="00640D01">
        <w:t xml:space="preserve"> 10</w:t>
      </w:r>
      <w:r w:rsidRPr="00640D01">
        <w:t xml:space="preserve">), the MOVES output summer period starts per vehicle were multiplied by conversion factors based on period </w:t>
      </w:r>
      <w:r w:rsidR="00B712C3" w:rsidRPr="00640D01">
        <w:t>weighted-</w:t>
      </w:r>
      <w:r w:rsidRPr="00640D01">
        <w:t xml:space="preserve">average MOVES default startsmonthadjust data. Using the startsmonthadjust default data, the non-school conversion factor is the ratio of </w:t>
      </w:r>
      <w:r w:rsidR="00B712C3" w:rsidRPr="00640D01">
        <w:t xml:space="preserve">the </w:t>
      </w:r>
      <w:r w:rsidRPr="00640D01">
        <w:t>non-school</w:t>
      </w:r>
      <w:r w:rsidR="00B712C3" w:rsidRPr="00640D01">
        <w:t xml:space="preserve"> </w:t>
      </w:r>
      <w:r w:rsidRPr="00640D01">
        <w:t>period</w:t>
      </w:r>
      <w:r w:rsidR="00B712C3" w:rsidRPr="00640D01">
        <w:t xml:space="preserve"> </w:t>
      </w:r>
      <w:r w:rsidRPr="00640D01">
        <w:t>to</w:t>
      </w:r>
      <w:r w:rsidR="00B712C3" w:rsidRPr="00640D01">
        <w:t xml:space="preserve"> the </w:t>
      </w:r>
      <w:r w:rsidRPr="00640D01">
        <w:t xml:space="preserve">average June through August summer period. </w:t>
      </w:r>
    </w:p>
    <w:p w14:paraId="6951CE03" w14:textId="29CA11F4" w:rsidR="00EF4674" w:rsidRPr="00640D01" w:rsidRDefault="000D6DC0" w:rsidP="00B815B4">
      <w:pPr>
        <w:pStyle w:val="BodyText"/>
      </w:pPr>
      <w:r w:rsidRPr="00640D01">
        <w:t>The local vehicle start activity estimates were calculated as the product of national default starts</w:t>
      </w:r>
      <w:r w:rsidR="00B712C3" w:rsidRPr="00640D01">
        <w:t xml:space="preserve"> per </w:t>
      </w:r>
      <w:r w:rsidRPr="00640D01">
        <w:t xml:space="preserve">vehicle and the local </w:t>
      </w:r>
      <w:r w:rsidR="00B712C3" w:rsidRPr="00640D01">
        <w:t>vehicle-</w:t>
      </w:r>
      <w:r w:rsidRPr="00640D01">
        <w:t xml:space="preserve">type population estimates. The weekday vehicle start estimates for each vehicle type were calculated by county, analysis year, and hour of </w:t>
      </w:r>
      <w:r w:rsidR="00B712C3" w:rsidRPr="00640D01">
        <w:t xml:space="preserve">the </w:t>
      </w:r>
      <w:r w:rsidRPr="00640D01">
        <w:t>day</w:t>
      </w:r>
      <w:r w:rsidR="00316451" w:rsidRPr="00640D01">
        <w:t>.</w:t>
      </w:r>
    </w:p>
    <w:p w14:paraId="157E2933" w14:textId="6B47CDC1" w:rsidR="00B42ECF" w:rsidRPr="00640D01" w:rsidRDefault="00684A5F" w:rsidP="00B42ECF">
      <w:pPr>
        <w:pStyle w:val="Heading3"/>
      </w:pPr>
      <w:bookmarkStart w:id="91" w:name="_Toc190242723"/>
      <w:r w:rsidRPr="00640D01">
        <w:t xml:space="preserve">Hoteling: </w:t>
      </w:r>
      <w:r w:rsidR="00B42ECF" w:rsidRPr="00640D01">
        <w:t>Source Hours Extended Idling and Auxiliary Power Unit Hours</w:t>
      </w:r>
      <w:bookmarkEnd w:id="91"/>
    </w:p>
    <w:p w14:paraId="018F9AC3" w14:textId="7BBEA0FC" w:rsidR="00684A5F" w:rsidRPr="00640D01" w:rsidRDefault="00684A5F" w:rsidP="00B815B4">
      <w:pPr>
        <w:pStyle w:val="BodyText"/>
      </w:pPr>
      <w:r w:rsidRPr="00640D01">
        <w:t>Hoteling hours were calculated for heavy-duty, long-haul trucks only (i.e., SUT 62) in several steps. First</w:t>
      </w:r>
      <w:r w:rsidR="00656102" w:rsidRPr="00640D01">
        <w:t>,</w:t>
      </w:r>
      <w:r w:rsidRPr="00640D01">
        <w:t xml:space="preserve"> total hoteling hours were calculated using information from a </w:t>
      </w:r>
      <w:r w:rsidR="00656102" w:rsidRPr="00640D01">
        <w:t>Texas Commission on Environmental Quality (</w:t>
      </w:r>
      <w:r w:rsidRPr="00640D01">
        <w:t>TCEQ</w:t>
      </w:r>
      <w:r w:rsidR="00656102" w:rsidRPr="00640D01">
        <w:t>)</w:t>
      </w:r>
      <w:r w:rsidRPr="00640D01">
        <w:t xml:space="preserve"> extended idling study</w:t>
      </w:r>
      <w:r w:rsidR="00656102" w:rsidRPr="00640D01">
        <w:t>.</w:t>
      </w:r>
      <w:r w:rsidRPr="00640D01">
        <w:rPr>
          <w:rStyle w:val="FootnoteReference"/>
        </w:rPr>
        <w:footnoteReference w:id="7"/>
      </w:r>
      <w:r w:rsidRPr="00640D01">
        <w:t xml:space="preserve"> Scaling factors were then used to convert these base hoteling hours to those relevant to each analysis year, which were then allocated to each hour of the day. Estimations were then made of the proportions of hoteling hours that occur in each of the four hoteling categories: idling using the main engine (SHEI), diesel APU operation, electric APU operation, or main engine off and no auxiliary power</w:t>
      </w:r>
      <w:r w:rsidR="00656102" w:rsidRPr="00640D01">
        <w:t>.</w:t>
      </w:r>
      <w:r w:rsidRPr="00640D01">
        <w:rPr>
          <w:rStyle w:val="FootnoteReference"/>
        </w:rPr>
        <w:footnoteReference w:id="8"/>
      </w:r>
    </w:p>
    <w:p w14:paraId="7D30EA3A" w14:textId="77777777" w:rsidR="00684A5F" w:rsidRPr="00640D01" w:rsidRDefault="00684A5F" w:rsidP="00B815B4">
      <w:pPr>
        <w:pStyle w:val="Heading4"/>
      </w:pPr>
      <w:r w:rsidRPr="00640D01">
        <w:t>Estimating 24-Hour Hoteling</w:t>
      </w:r>
    </w:p>
    <w:p w14:paraId="5896A689" w14:textId="5F166A2C" w:rsidR="00684A5F" w:rsidRPr="00640D01" w:rsidRDefault="00684A5F" w:rsidP="00B815B4">
      <w:pPr>
        <w:pStyle w:val="BodyText"/>
      </w:pPr>
      <w:r w:rsidRPr="00640D01">
        <w:t xml:space="preserve">County-level hoteling scaling factors were developed to transform base </w:t>
      </w:r>
      <w:r w:rsidR="00294919" w:rsidRPr="00640D01">
        <w:rPr>
          <w:b/>
          <w:bCs/>
          <w:color w:val="7030A0"/>
        </w:rPr>
        <w:fldChar w:fldCharType="begin"/>
      </w:r>
      <w:r w:rsidR="00294919" w:rsidRPr="00640D01">
        <w:instrText xml:space="preserve"> REF BaseYear \h </w:instrText>
      </w:r>
      <w:r w:rsidR="00294919" w:rsidRPr="00640D01">
        <w:rPr>
          <w:b/>
          <w:bCs/>
          <w:color w:val="7030A0"/>
        </w:rPr>
      </w:r>
      <w:r w:rsidR="00294919" w:rsidRPr="00640D01">
        <w:rPr>
          <w:b/>
          <w:bCs/>
          <w:color w:val="7030A0"/>
        </w:rPr>
        <w:fldChar w:fldCharType="separate"/>
      </w:r>
      <w:r w:rsidR="00514311" w:rsidRPr="00640D01">
        <w:rPr>
          <w:b/>
          <w:bCs/>
          <w:color w:val="C00000"/>
        </w:rPr>
        <w:t xml:space="preserve">[Base Year] </w:t>
      </w:r>
      <w:r w:rsidR="00294919" w:rsidRPr="00640D01">
        <w:rPr>
          <w:b/>
          <w:bCs/>
          <w:color w:val="7030A0"/>
        </w:rPr>
        <w:fldChar w:fldCharType="end"/>
      </w:r>
      <w:r w:rsidRPr="00640D01">
        <w:t xml:space="preserve">winter weekday total daily hoteling hours to daily hoteling hours for each conformity </w:t>
      </w:r>
      <w:r w:rsidR="007C3F9A" w:rsidRPr="00640D01">
        <w:t>analysis-</w:t>
      </w:r>
      <w:r w:rsidRPr="00640D01">
        <w:t>year scenario. Scaling factors were calculated using the ratio of heavy-duty long</w:t>
      </w:r>
      <w:r w:rsidR="00656102" w:rsidRPr="00640D01">
        <w:t>-</w:t>
      </w:r>
      <w:r w:rsidRPr="00640D01">
        <w:t xml:space="preserve">haul VMT for each scenario relative to heavy-duty </w:t>
      </w:r>
      <w:r w:rsidR="00656102" w:rsidRPr="00640D01">
        <w:t>long-</w:t>
      </w:r>
      <w:r w:rsidRPr="00640D01">
        <w:t xml:space="preserve">haul VMT for a </w:t>
      </w:r>
      <w:r w:rsidR="00294919" w:rsidRPr="00640D01">
        <w:rPr>
          <w:b/>
          <w:bCs/>
          <w:color w:val="7030A0"/>
        </w:rPr>
        <w:fldChar w:fldCharType="begin"/>
      </w:r>
      <w:r w:rsidR="00294919" w:rsidRPr="00640D01">
        <w:instrText xml:space="preserve"> REF BaseYear \h </w:instrText>
      </w:r>
      <w:r w:rsidR="00294919" w:rsidRPr="00640D01">
        <w:rPr>
          <w:b/>
          <w:bCs/>
          <w:color w:val="7030A0"/>
        </w:rPr>
      </w:r>
      <w:r w:rsidR="00294919" w:rsidRPr="00640D01">
        <w:rPr>
          <w:b/>
          <w:bCs/>
          <w:color w:val="7030A0"/>
        </w:rPr>
        <w:fldChar w:fldCharType="separate"/>
      </w:r>
      <w:r w:rsidR="00514311" w:rsidRPr="00640D01">
        <w:rPr>
          <w:b/>
          <w:bCs/>
          <w:color w:val="C00000"/>
        </w:rPr>
        <w:t xml:space="preserve">[Base Year] </w:t>
      </w:r>
      <w:r w:rsidR="00294919" w:rsidRPr="00640D01">
        <w:rPr>
          <w:b/>
          <w:bCs/>
          <w:color w:val="7030A0"/>
        </w:rPr>
        <w:fldChar w:fldCharType="end"/>
      </w:r>
      <w:r w:rsidRPr="00640D01">
        <w:t>winter weekday (scenario SUT</w:t>
      </w:r>
      <w:r w:rsidR="007C3F9A" w:rsidRPr="00640D01">
        <w:t> </w:t>
      </w:r>
      <w:r w:rsidRPr="00640D01">
        <w:t xml:space="preserve">62 VMT divided by 2017 winter weekday SUT 62 VMT). </w:t>
      </w:r>
    </w:p>
    <w:p w14:paraId="267FB7B4" w14:textId="48C0D759" w:rsidR="00684A5F" w:rsidRPr="00640D01" w:rsidRDefault="00684A5F" w:rsidP="00B815B4">
      <w:pPr>
        <w:pStyle w:val="BodyText"/>
      </w:pPr>
      <w:r w:rsidRPr="00640D01">
        <w:t xml:space="preserve">Total daily hoteling for each county and scenario was calculated by multiplying the appropriate scaling factor by the total daily hoteling hours contained in the </w:t>
      </w:r>
      <w:r w:rsidR="00294919" w:rsidRPr="00640D01">
        <w:rPr>
          <w:b/>
          <w:bCs/>
          <w:color w:val="7030A0"/>
        </w:rPr>
        <w:fldChar w:fldCharType="begin"/>
      </w:r>
      <w:r w:rsidR="00294919" w:rsidRPr="00640D01">
        <w:instrText xml:space="preserve"> REF BaseYear \h </w:instrText>
      </w:r>
      <w:r w:rsidR="00294919" w:rsidRPr="00640D01">
        <w:rPr>
          <w:b/>
          <w:bCs/>
          <w:color w:val="7030A0"/>
        </w:rPr>
      </w:r>
      <w:r w:rsidR="00294919" w:rsidRPr="00640D01">
        <w:rPr>
          <w:b/>
          <w:bCs/>
          <w:color w:val="7030A0"/>
        </w:rPr>
        <w:fldChar w:fldCharType="separate"/>
      </w:r>
      <w:r w:rsidR="00514311" w:rsidRPr="00640D01">
        <w:rPr>
          <w:b/>
          <w:bCs/>
          <w:color w:val="C00000"/>
        </w:rPr>
        <w:t xml:space="preserve">[Base Year] </w:t>
      </w:r>
      <w:r w:rsidR="00294919" w:rsidRPr="00640D01">
        <w:rPr>
          <w:b/>
          <w:bCs/>
          <w:color w:val="7030A0"/>
        </w:rPr>
        <w:fldChar w:fldCharType="end"/>
      </w:r>
      <w:r w:rsidRPr="00640D01">
        <w:t>winter weekday total daily hoteling hours study.</w:t>
      </w:r>
    </w:p>
    <w:p w14:paraId="0CB73761" w14:textId="77777777" w:rsidR="00684A5F" w:rsidRPr="00640D01" w:rsidRDefault="00684A5F" w:rsidP="00684A5F">
      <w:pPr>
        <w:pStyle w:val="Heading4"/>
      </w:pPr>
      <w:r w:rsidRPr="00640D01">
        <w:t>Hoteling by Hour Estimation</w:t>
      </w:r>
    </w:p>
    <w:p w14:paraId="6BD4468C" w14:textId="77777777" w:rsidR="00684A5F" w:rsidRPr="00640D01" w:rsidRDefault="00684A5F" w:rsidP="00B815B4">
      <w:pPr>
        <w:pStyle w:val="BodyText"/>
      </w:pPr>
      <w:r w:rsidRPr="00640D01">
        <w:t xml:space="preserve">Daily hoteling hours were allocated to each hour of the day as a function of the inverse of activity scenario hourly VHT fractions for SUT 62. The hourly VHT fractions were calculated using the hourly VHT from the SHP estimation process (VHT = SHO). The inverses of these hourly VHT fractions were calculated and then normalized across all hours to produce the county-level, hoteling hours hourly distribution. </w:t>
      </w:r>
    </w:p>
    <w:p w14:paraId="49A35F8C" w14:textId="54CCC706" w:rsidR="00684A5F" w:rsidRPr="00640D01" w:rsidRDefault="00684A5F" w:rsidP="00B815B4">
      <w:pPr>
        <w:pStyle w:val="BodyText"/>
      </w:pPr>
      <w:r w:rsidRPr="00640D01">
        <w:t xml:space="preserve">If the hourly hoteling hours were greater than </w:t>
      </w:r>
      <w:r w:rsidR="007C3F9A" w:rsidRPr="00640D01">
        <w:t xml:space="preserve">the </w:t>
      </w:r>
      <w:r w:rsidRPr="00640D01">
        <w:t>SHP (for SUT 62), the final hoteling hours estimate was set to the SHP.</w:t>
      </w:r>
    </w:p>
    <w:p w14:paraId="52632579" w14:textId="2AF0095B" w:rsidR="00B42ECF" w:rsidRPr="00640D01" w:rsidRDefault="00B42ECF" w:rsidP="00B42ECF">
      <w:pPr>
        <w:pStyle w:val="Heading4"/>
      </w:pPr>
      <w:r w:rsidRPr="00640D01">
        <w:lastRenderedPageBreak/>
        <w:t>SHEI and APU</w:t>
      </w:r>
    </w:p>
    <w:p w14:paraId="309D67F7" w14:textId="5FAF1F6C" w:rsidR="00CA3BB9" w:rsidRPr="00640D01" w:rsidRDefault="00CA3BB9" w:rsidP="00B815B4">
      <w:pPr>
        <w:pStyle w:val="BodyText"/>
      </w:pPr>
      <w:r w:rsidRPr="00640D01">
        <w:t>County, analysis year, and summer weekday hoteling hours were first estimated using 24-hour weekday hoteling hour estimates for a</w:t>
      </w:r>
      <w:r w:rsidRPr="00176A31">
        <w:rPr>
          <w:color w:val="7030A0"/>
        </w:rPr>
        <w:t xml:space="preserve"> </w:t>
      </w:r>
      <w:r w:rsidR="00CA7F97" w:rsidRPr="00176A31">
        <w:rPr>
          <w:color w:val="7030A0"/>
        </w:rPr>
        <w:t>[</w:t>
      </w:r>
      <w:r w:rsidRPr="00176A31">
        <w:rPr>
          <w:b/>
          <w:bCs/>
          <w:color w:val="7030A0"/>
        </w:rPr>
        <w:t>2017 baseline year</w:t>
      </w:r>
      <w:r w:rsidRPr="00640D01">
        <w:rPr>
          <w:color w:val="7030A0"/>
        </w:rPr>
        <w:t xml:space="preserve"> (from </w:t>
      </w:r>
      <w:r w:rsidR="00D1102D" w:rsidRPr="00640D01">
        <w:rPr>
          <w:color w:val="7030A0"/>
        </w:rPr>
        <w:t xml:space="preserve">the most </w:t>
      </w:r>
      <w:r w:rsidRPr="00640D01">
        <w:rPr>
          <w:color w:val="7030A0"/>
        </w:rPr>
        <w:t>recent TCEQ extended idling study)</w:t>
      </w:r>
      <w:r w:rsidR="00CA7F97" w:rsidRPr="00640D01">
        <w:rPr>
          <w:color w:val="7030A0"/>
        </w:rPr>
        <w:t>]</w:t>
      </w:r>
      <w:r w:rsidRPr="00640D01">
        <w:rPr>
          <w:color w:val="7030A0"/>
        </w:rPr>
        <w:t xml:space="preserve">; </w:t>
      </w:r>
      <w:r w:rsidRPr="00640D01">
        <w:t>baseline and analysis year scenario VMT, speeds, and VMT mix; and analysis</w:t>
      </w:r>
      <w:r w:rsidR="00CA7F97" w:rsidRPr="00640D01">
        <w:t>-</w:t>
      </w:r>
      <w:r w:rsidRPr="00640D01">
        <w:t>year scenario SHP estimation data.</w:t>
      </w:r>
    </w:p>
    <w:p w14:paraId="55155ED0" w14:textId="65E985E5" w:rsidR="001A141C" w:rsidRPr="00640D01" w:rsidRDefault="001A141C" w:rsidP="00B815B4">
      <w:pPr>
        <w:pStyle w:val="BodyText"/>
      </w:pPr>
      <w:r w:rsidRPr="00640D01">
        <w:t xml:space="preserve">The </w:t>
      </w:r>
      <w:r w:rsidR="00CA7F97" w:rsidRPr="00640D01">
        <w:t>baseline-</w:t>
      </w:r>
      <w:r w:rsidRPr="00640D01">
        <w:t xml:space="preserve">year county hoteling hours estimates for a 24-hour weekday from the TCEQ study were scaled to each analysis scenario using the ratio of </w:t>
      </w:r>
      <w:r w:rsidR="00CA7F97" w:rsidRPr="00640D01">
        <w:t>analysis-</w:t>
      </w:r>
      <w:r w:rsidRPr="00640D01">
        <w:t>scenario-to-baseline combination long-haul truck 24-hour VMT (as truck VMT increases, so does hoteling activity).</w:t>
      </w:r>
    </w:p>
    <w:p w14:paraId="2F1F8D7C" w14:textId="47081B87" w:rsidR="001A141C" w:rsidRPr="00640D01" w:rsidRDefault="001A141C" w:rsidP="00B815B4">
      <w:pPr>
        <w:pStyle w:val="BodyText"/>
      </w:pPr>
      <w:r w:rsidRPr="00640D01">
        <w:t xml:space="preserve">The 24-hour hoteling estimates were then distributed to each hour of </w:t>
      </w:r>
      <w:r w:rsidR="00684C90" w:rsidRPr="00640D01">
        <w:t xml:space="preserve">the </w:t>
      </w:r>
      <w:r w:rsidRPr="00640D01">
        <w:t xml:space="preserve">day using the hoteling hours hourly distribution calculated for the analysis scenario as the inverse of the hourly distribution of VHT (or SHO, from the SHP calculation process) for combination long-haul trucks. Within each hour, SHP and hoteling hours were compared, and if hoteling hours exceeded </w:t>
      </w:r>
      <w:r w:rsidR="00CA7F97" w:rsidRPr="00640D01">
        <w:t xml:space="preserve">the </w:t>
      </w:r>
      <w:r w:rsidRPr="00640D01">
        <w:t xml:space="preserve">SHP, hoteling hours were set equal to </w:t>
      </w:r>
      <w:r w:rsidR="00CA7F97" w:rsidRPr="00640D01">
        <w:t xml:space="preserve">the </w:t>
      </w:r>
      <w:r w:rsidRPr="00640D01">
        <w:t>SHP.</w:t>
      </w:r>
    </w:p>
    <w:p w14:paraId="77909B9A" w14:textId="51CB73E2" w:rsidR="001A141C" w:rsidRPr="00640D01" w:rsidRDefault="001A141C" w:rsidP="00B815B4">
      <w:pPr>
        <w:pStyle w:val="BodyText"/>
      </w:pPr>
      <w:r w:rsidRPr="00640D01">
        <w:t>SH</w:t>
      </w:r>
      <w:r w:rsidR="00B270E9" w:rsidRPr="00640D01">
        <w:t>E</w:t>
      </w:r>
      <w:r w:rsidRPr="00640D01">
        <w:t>I and APU hours components of hoteling hours were then estimated for each hour using the hourly hoteling hours estimates, combination long-haul truck travel fractions (calculated from local age distributions and MOVES default relative mileage accumulation rates)</w:t>
      </w:r>
      <w:r w:rsidR="00684C90" w:rsidRPr="00640D01">
        <w:t>,</w:t>
      </w:r>
      <w:r w:rsidRPr="00640D01">
        <w:t xml:space="preserve"> and hoteling activity distributions for each model year.</w:t>
      </w:r>
    </w:p>
    <w:p w14:paraId="6CED28DC" w14:textId="04187C42" w:rsidR="000F4D8D" w:rsidRPr="00640D01" w:rsidRDefault="000F4D8D" w:rsidP="00B815B4">
      <w:pPr>
        <w:pStyle w:val="BodyText"/>
      </w:pPr>
      <w:r w:rsidRPr="00640D01">
        <w:t>The SH</w:t>
      </w:r>
      <w:r w:rsidR="00B270E9" w:rsidRPr="00640D01">
        <w:t>E</w:t>
      </w:r>
      <w:r w:rsidRPr="00640D01">
        <w:t xml:space="preserve">I and APU hours activity distribution fractions </w:t>
      </w:r>
      <w:r w:rsidR="00305798" w:rsidRPr="00640D01">
        <w:t xml:space="preserve">(see </w:t>
      </w:r>
      <w:r w:rsidR="00C67C6F" w:rsidRPr="00640D01">
        <w:fldChar w:fldCharType="begin"/>
      </w:r>
      <w:r w:rsidR="00C67C6F" w:rsidRPr="00640D01">
        <w:instrText xml:space="preserve"> REF _Ref152854407 \h </w:instrText>
      </w:r>
      <w:r w:rsidR="00761C8B" w:rsidRPr="00640D01">
        <w:instrText xml:space="preserve"> \* MERGEFORMAT </w:instrText>
      </w:r>
      <w:r w:rsidR="00C67C6F" w:rsidRPr="00640D01">
        <w:fldChar w:fldCharType="separate"/>
      </w:r>
      <w:r w:rsidR="00514311" w:rsidRPr="00640D01">
        <w:t xml:space="preserve">Table </w:t>
      </w:r>
      <w:r w:rsidR="00514311">
        <w:t>4</w:t>
      </w:r>
      <w:r w:rsidR="00514311">
        <w:noBreakHyphen/>
        <w:t>6</w:t>
      </w:r>
      <w:r w:rsidR="00C67C6F" w:rsidRPr="00640D01">
        <w:fldChar w:fldCharType="end"/>
      </w:r>
      <w:r w:rsidR="00305798" w:rsidRPr="00640D01">
        <w:t xml:space="preserve">) </w:t>
      </w:r>
      <w:r w:rsidRPr="00640D01">
        <w:t>were each first multiplied by the travel distribution (</w:t>
      </w:r>
      <w:r w:rsidR="00677668" w:rsidRPr="00640D01">
        <w:t>model-</w:t>
      </w:r>
      <w:r w:rsidRPr="00640D01">
        <w:t xml:space="preserve">year operating mode activity fraction multiplied by the associated </w:t>
      </w:r>
      <w:r w:rsidR="00677668" w:rsidRPr="00640D01">
        <w:t>mode-</w:t>
      </w:r>
      <w:r w:rsidRPr="00640D01">
        <w:t>year travel fraction). The product</w:t>
      </w:r>
      <w:r w:rsidR="00677668" w:rsidRPr="00640D01">
        <w:t>s</w:t>
      </w:r>
      <w:r w:rsidRPr="00640D01">
        <w:t xml:space="preserve"> of the </w:t>
      </w:r>
      <w:r w:rsidR="00B270E9" w:rsidRPr="00640D01">
        <w:t>SHEI</w:t>
      </w:r>
      <w:r w:rsidRPr="00640D01">
        <w:t xml:space="preserve"> fractions and travel fractions were then summed to produce the total </w:t>
      </w:r>
      <w:r w:rsidR="00B270E9" w:rsidRPr="00640D01">
        <w:t>SHEI</w:t>
      </w:r>
      <w:r w:rsidRPr="00640D01">
        <w:t xml:space="preserve"> fraction, and the same process was performed for APU hours to produce </w:t>
      </w:r>
      <w:r w:rsidR="00684C90" w:rsidRPr="00640D01">
        <w:t xml:space="preserve">the </w:t>
      </w:r>
      <w:r w:rsidRPr="00640D01">
        <w:t xml:space="preserve">total APU hours fraction. (The sum of the </w:t>
      </w:r>
      <w:r w:rsidR="00B270E9" w:rsidRPr="00640D01">
        <w:t>SHEI</w:t>
      </w:r>
      <w:r w:rsidRPr="00640D01">
        <w:t xml:space="preserve"> and APU hours fractions subtracted from 1.0 results in the fraction of hoteling hours with electric power or no power in use.) </w:t>
      </w:r>
    </w:p>
    <w:p w14:paraId="27ACEAEE" w14:textId="4F31B3AF" w:rsidR="00C67C6F" w:rsidRPr="00640D01" w:rsidRDefault="00C67C6F" w:rsidP="00B815B4">
      <w:pPr>
        <w:pStyle w:val="TableCaption"/>
      </w:pPr>
      <w:bookmarkStart w:id="92" w:name="_Ref152854407"/>
      <w:bookmarkStart w:id="93" w:name="_Toc190183122"/>
      <w:r w:rsidRPr="00640D01">
        <w:t xml:space="preserve">Table </w:t>
      </w:r>
      <w:r w:rsidR="00514311">
        <w:fldChar w:fldCharType="begin"/>
      </w:r>
      <w:r w:rsidR="00514311">
        <w:instrText xml:space="preserve"> STYLEREF 1 \s </w:instrText>
      </w:r>
      <w:r w:rsidR="00514311">
        <w:fldChar w:fldCharType="separate"/>
      </w:r>
      <w:r w:rsidR="00514311">
        <w:rPr>
          <w:noProof/>
        </w:rPr>
        <w:t>4</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6</w:t>
      </w:r>
      <w:r w:rsidR="00514311">
        <w:fldChar w:fldCharType="end"/>
      </w:r>
      <w:bookmarkEnd w:id="92"/>
      <w:r w:rsidRPr="00640D01">
        <w:t xml:space="preserve">. Hoteling Activity Distribution by Model </w:t>
      </w:r>
      <w:r w:rsidR="00684C90" w:rsidRPr="00640D01">
        <w:t>Y</w:t>
      </w:r>
      <w:r w:rsidRPr="00640D01">
        <w:t>ear</w:t>
      </w:r>
      <w:bookmarkEnd w:id="93"/>
    </w:p>
    <w:tbl>
      <w:tblPr>
        <w:tblStyle w:val="TableGrid"/>
        <w:tblW w:w="0" w:type="auto"/>
        <w:tblBorders>
          <w:left w:val="single" w:sz="4" w:space="0" w:color="FFFFFF" w:themeColor="background1"/>
          <w:right w:val="single" w:sz="4" w:space="0" w:color="FFFFFF" w:themeColor="background1"/>
        </w:tblBorders>
        <w:tblCellMar>
          <w:top w:w="29" w:type="dxa"/>
          <w:bottom w:w="29" w:type="dxa"/>
        </w:tblCellMar>
        <w:tblLook w:val="04A0" w:firstRow="1" w:lastRow="0" w:firstColumn="1" w:lastColumn="0" w:noHBand="0" w:noVBand="1"/>
      </w:tblPr>
      <w:tblGrid>
        <w:gridCol w:w="1558"/>
        <w:gridCol w:w="1558"/>
        <w:gridCol w:w="1558"/>
        <w:gridCol w:w="1558"/>
        <w:gridCol w:w="1559"/>
        <w:gridCol w:w="1559"/>
      </w:tblGrid>
      <w:tr w:rsidR="00651633" w:rsidRPr="00640D01" w14:paraId="1DB488B5" w14:textId="77777777" w:rsidTr="00B815B4">
        <w:trPr>
          <w:tblHeader/>
        </w:trPr>
        <w:tc>
          <w:tcPr>
            <w:tcW w:w="1558" w:type="dxa"/>
            <w:tcBorders>
              <w:right w:val="single" w:sz="4" w:space="0" w:color="FFFFFF" w:themeColor="background1"/>
            </w:tcBorders>
            <w:shd w:val="clear" w:color="auto" w:fill="002060"/>
            <w:vAlign w:val="center"/>
          </w:tcPr>
          <w:p w14:paraId="1551B4BD" w14:textId="2F1FCBF5" w:rsidR="00651633" w:rsidRPr="00640D01" w:rsidRDefault="00651633" w:rsidP="00B815B4">
            <w:pPr>
              <w:pStyle w:val="TableHeader"/>
              <w:rPr>
                <w:b w:val="0"/>
              </w:rPr>
            </w:pPr>
            <w:r w:rsidRPr="00640D01">
              <w:t>First Model Year</w:t>
            </w:r>
          </w:p>
        </w:tc>
        <w:tc>
          <w:tcPr>
            <w:tcW w:w="1558" w:type="dxa"/>
            <w:tcBorders>
              <w:left w:val="single" w:sz="4" w:space="0" w:color="FFFFFF" w:themeColor="background1"/>
              <w:right w:val="single" w:sz="4" w:space="0" w:color="FFFFFF" w:themeColor="background1"/>
            </w:tcBorders>
            <w:shd w:val="clear" w:color="auto" w:fill="002060"/>
            <w:vAlign w:val="center"/>
          </w:tcPr>
          <w:p w14:paraId="7A8F644A" w14:textId="41CC0C86" w:rsidR="00651633" w:rsidRPr="00640D01" w:rsidRDefault="00651633" w:rsidP="00B815B4">
            <w:pPr>
              <w:pStyle w:val="TableHeader"/>
              <w:rPr>
                <w:b w:val="0"/>
              </w:rPr>
            </w:pPr>
            <w:r w:rsidRPr="00640D01">
              <w:t>Last Model Year</w:t>
            </w:r>
          </w:p>
        </w:tc>
        <w:tc>
          <w:tcPr>
            <w:tcW w:w="1558" w:type="dxa"/>
            <w:tcBorders>
              <w:left w:val="single" w:sz="4" w:space="0" w:color="FFFFFF" w:themeColor="background1"/>
              <w:right w:val="single" w:sz="4" w:space="0" w:color="FFFFFF" w:themeColor="background1"/>
            </w:tcBorders>
            <w:shd w:val="clear" w:color="auto" w:fill="002060"/>
            <w:vAlign w:val="center"/>
          </w:tcPr>
          <w:p w14:paraId="7935EB34" w14:textId="201BBFDA" w:rsidR="00D727FF" w:rsidRPr="00640D01" w:rsidRDefault="00651633" w:rsidP="00B815B4">
            <w:pPr>
              <w:pStyle w:val="TableHeader"/>
              <w:rPr>
                <w:b w:val="0"/>
              </w:rPr>
            </w:pPr>
            <w:r w:rsidRPr="00640D01">
              <w:t>200</w:t>
            </w:r>
          </w:p>
          <w:p w14:paraId="6A075C79" w14:textId="15264BC8" w:rsidR="00651633" w:rsidRPr="00640D01" w:rsidRDefault="00651633" w:rsidP="00B815B4">
            <w:pPr>
              <w:pStyle w:val="TableHeader"/>
              <w:rPr>
                <w:b w:val="0"/>
              </w:rPr>
            </w:pPr>
            <w:r w:rsidRPr="00640D01">
              <w:t>Extended Idling</w:t>
            </w:r>
          </w:p>
        </w:tc>
        <w:tc>
          <w:tcPr>
            <w:tcW w:w="1558" w:type="dxa"/>
            <w:tcBorders>
              <w:left w:val="single" w:sz="4" w:space="0" w:color="FFFFFF" w:themeColor="background1"/>
              <w:right w:val="single" w:sz="4" w:space="0" w:color="FFFFFF" w:themeColor="background1"/>
            </w:tcBorders>
            <w:shd w:val="clear" w:color="auto" w:fill="002060"/>
            <w:vAlign w:val="center"/>
          </w:tcPr>
          <w:p w14:paraId="5666AE89" w14:textId="639BCE1B" w:rsidR="00D727FF" w:rsidRPr="00640D01" w:rsidRDefault="00651633" w:rsidP="00B815B4">
            <w:pPr>
              <w:pStyle w:val="TableHeader"/>
              <w:rPr>
                <w:b w:val="0"/>
              </w:rPr>
            </w:pPr>
            <w:r w:rsidRPr="00640D01">
              <w:t>201</w:t>
            </w:r>
          </w:p>
          <w:p w14:paraId="377375E2" w14:textId="2B831838" w:rsidR="00651633" w:rsidRPr="00640D01" w:rsidRDefault="00651633" w:rsidP="00B815B4">
            <w:pPr>
              <w:pStyle w:val="TableHeader"/>
              <w:rPr>
                <w:b w:val="0"/>
              </w:rPr>
            </w:pPr>
            <w:r w:rsidRPr="00640D01">
              <w:t>Hoteling Diesel Aux</w:t>
            </w:r>
            <w:r w:rsidR="00CA7F97" w:rsidRPr="00640D01">
              <w:t>iliary</w:t>
            </w:r>
          </w:p>
        </w:tc>
        <w:tc>
          <w:tcPr>
            <w:tcW w:w="1559" w:type="dxa"/>
            <w:tcBorders>
              <w:left w:val="single" w:sz="4" w:space="0" w:color="FFFFFF" w:themeColor="background1"/>
              <w:right w:val="single" w:sz="4" w:space="0" w:color="FFFFFF" w:themeColor="background1"/>
            </w:tcBorders>
            <w:shd w:val="clear" w:color="auto" w:fill="002060"/>
            <w:vAlign w:val="center"/>
          </w:tcPr>
          <w:p w14:paraId="611B34B7" w14:textId="6B3EDFB0" w:rsidR="00D727FF" w:rsidRPr="00640D01" w:rsidRDefault="00651633" w:rsidP="00B815B4">
            <w:pPr>
              <w:pStyle w:val="TableHeader"/>
              <w:rPr>
                <w:b w:val="0"/>
              </w:rPr>
            </w:pPr>
            <w:r w:rsidRPr="00640D01">
              <w:t>203</w:t>
            </w:r>
          </w:p>
          <w:p w14:paraId="637E3677" w14:textId="5F44DF67" w:rsidR="00651633" w:rsidRPr="00640D01" w:rsidRDefault="00651633" w:rsidP="00B815B4">
            <w:pPr>
              <w:pStyle w:val="TableHeader"/>
              <w:rPr>
                <w:b w:val="0"/>
              </w:rPr>
            </w:pPr>
            <w:r w:rsidRPr="00640D01">
              <w:t>Hoteling Battery AC</w:t>
            </w:r>
          </w:p>
        </w:tc>
        <w:tc>
          <w:tcPr>
            <w:tcW w:w="1559" w:type="dxa"/>
            <w:tcBorders>
              <w:left w:val="single" w:sz="4" w:space="0" w:color="FFFFFF" w:themeColor="background1"/>
            </w:tcBorders>
            <w:shd w:val="clear" w:color="auto" w:fill="002060"/>
            <w:vAlign w:val="center"/>
          </w:tcPr>
          <w:p w14:paraId="13823618" w14:textId="661842C5" w:rsidR="00D727FF" w:rsidRPr="00640D01" w:rsidRDefault="00651633" w:rsidP="00B815B4">
            <w:pPr>
              <w:pStyle w:val="TableHeader"/>
              <w:rPr>
                <w:b w:val="0"/>
              </w:rPr>
            </w:pPr>
            <w:r w:rsidRPr="00640D01">
              <w:t>204</w:t>
            </w:r>
          </w:p>
          <w:p w14:paraId="7BFC6B7D" w14:textId="703B620F" w:rsidR="00651633" w:rsidRPr="00640D01" w:rsidRDefault="00651633" w:rsidP="00B815B4">
            <w:pPr>
              <w:pStyle w:val="TableHeader"/>
              <w:rPr>
                <w:b w:val="0"/>
              </w:rPr>
            </w:pPr>
            <w:r w:rsidRPr="00640D01">
              <w:t>Hoteling APU Off</w:t>
            </w:r>
          </w:p>
        </w:tc>
      </w:tr>
      <w:tr w:rsidR="00662EF1" w:rsidRPr="00640D01" w14:paraId="68A12EDD" w14:textId="77777777" w:rsidTr="00B815B4">
        <w:tc>
          <w:tcPr>
            <w:tcW w:w="1558" w:type="dxa"/>
            <w:vAlign w:val="center"/>
          </w:tcPr>
          <w:p w14:paraId="31ED499E" w14:textId="10FACEA0" w:rsidR="00662EF1" w:rsidRPr="00640D01" w:rsidRDefault="00662EF1" w:rsidP="00B815B4">
            <w:pPr>
              <w:pStyle w:val="TableText"/>
              <w:rPr>
                <w:color w:val="7030A0"/>
              </w:rPr>
            </w:pPr>
            <w:r w:rsidRPr="00640D01">
              <w:rPr>
                <w:color w:val="7030A0"/>
              </w:rPr>
              <w:t>2</w:t>
            </w:r>
          </w:p>
        </w:tc>
        <w:tc>
          <w:tcPr>
            <w:tcW w:w="1558" w:type="dxa"/>
            <w:vAlign w:val="center"/>
          </w:tcPr>
          <w:p w14:paraId="772DFF46" w14:textId="00D591B1" w:rsidR="00662EF1" w:rsidRPr="00640D01" w:rsidRDefault="00662EF1" w:rsidP="00B815B4">
            <w:pPr>
              <w:pStyle w:val="TableText"/>
              <w:rPr>
                <w:color w:val="7030A0"/>
              </w:rPr>
            </w:pPr>
            <w:r w:rsidRPr="00640D01">
              <w:rPr>
                <w:color w:val="7030A0"/>
              </w:rPr>
              <w:t>1960</w:t>
            </w:r>
          </w:p>
        </w:tc>
        <w:tc>
          <w:tcPr>
            <w:tcW w:w="1558" w:type="dxa"/>
            <w:vAlign w:val="center"/>
          </w:tcPr>
          <w:p w14:paraId="3AA70835" w14:textId="1C42E44E" w:rsidR="00662EF1" w:rsidRPr="00640D01" w:rsidRDefault="00662EF1" w:rsidP="00B815B4">
            <w:pPr>
              <w:pStyle w:val="TableText"/>
              <w:rPr>
                <w:color w:val="7030A0"/>
              </w:rPr>
            </w:pPr>
            <w:r w:rsidRPr="00640D01">
              <w:rPr>
                <w:color w:val="7030A0"/>
              </w:rPr>
              <w:t>2009</w:t>
            </w:r>
          </w:p>
        </w:tc>
        <w:tc>
          <w:tcPr>
            <w:tcW w:w="1558" w:type="dxa"/>
            <w:vAlign w:val="center"/>
          </w:tcPr>
          <w:p w14:paraId="34F2A2C2" w14:textId="4D3D563C" w:rsidR="00662EF1" w:rsidRPr="00640D01" w:rsidRDefault="00662EF1" w:rsidP="00B815B4">
            <w:pPr>
              <w:pStyle w:val="TableText"/>
              <w:rPr>
                <w:color w:val="7030A0"/>
              </w:rPr>
            </w:pPr>
            <w:r w:rsidRPr="00640D01">
              <w:rPr>
                <w:color w:val="7030A0"/>
              </w:rPr>
              <w:t>0.80</w:t>
            </w:r>
          </w:p>
        </w:tc>
        <w:tc>
          <w:tcPr>
            <w:tcW w:w="1559" w:type="dxa"/>
            <w:vAlign w:val="center"/>
          </w:tcPr>
          <w:p w14:paraId="5B5ACD95" w14:textId="45220F3B" w:rsidR="00662EF1" w:rsidRPr="00640D01" w:rsidRDefault="00662EF1" w:rsidP="00B815B4">
            <w:pPr>
              <w:pStyle w:val="TableText"/>
              <w:rPr>
                <w:color w:val="7030A0"/>
              </w:rPr>
            </w:pPr>
            <w:r w:rsidRPr="00640D01">
              <w:rPr>
                <w:color w:val="7030A0"/>
              </w:rPr>
              <w:t>0.00</w:t>
            </w:r>
          </w:p>
        </w:tc>
        <w:tc>
          <w:tcPr>
            <w:tcW w:w="1559" w:type="dxa"/>
            <w:vAlign w:val="center"/>
          </w:tcPr>
          <w:p w14:paraId="458DB68E" w14:textId="46AF1AE8" w:rsidR="00662EF1" w:rsidRPr="00640D01" w:rsidRDefault="00662EF1" w:rsidP="00B815B4">
            <w:pPr>
              <w:pStyle w:val="TableText"/>
              <w:rPr>
                <w:color w:val="7030A0"/>
              </w:rPr>
            </w:pPr>
            <w:r w:rsidRPr="00640D01">
              <w:rPr>
                <w:color w:val="7030A0"/>
              </w:rPr>
              <w:t>0.00</w:t>
            </w:r>
          </w:p>
        </w:tc>
      </w:tr>
      <w:tr w:rsidR="00662EF1" w:rsidRPr="00640D01" w14:paraId="0C0BD88C" w14:textId="77777777" w:rsidTr="00B815B4">
        <w:tc>
          <w:tcPr>
            <w:tcW w:w="1558" w:type="dxa"/>
            <w:vAlign w:val="center"/>
          </w:tcPr>
          <w:p w14:paraId="031F5E35" w14:textId="46A81344" w:rsidR="00662EF1" w:rsidRPr="00640D01" w:rsidRDefault="00662EF1" w:rsidP="00B815B4">
            <w:pPr>
              <w:pStyle w:val="TableText"/>
              <w:rPr>
                <w:color w:val="7030A0"/>
              </w:rPr>
            </w:pPr>
            <w:r w:rsidRPr="00640D01">
              <w:rPr>
                <w:color w:val="7030A0"/>
              </w:rPr>
              <w:t>2</w:t>
            </w:r>
          </w:p>
        </w:tc>
        <w:tc>
          <w:tcPr>
            <w:tcW w:w="1558" w:type="dxa"/>
            <w:vAlign w:val="center"/>
          </w:tcPr>
          <w:p w14:paraId="656DB692" w14:textId="38F80181" w:rsidR="00662EF1" w:rsidRPr="00640D01" w:rsidRDefault="00662EF1" w:rsidP="00B815B4">
            <w:pPr>
              <w:pStyle w:val="TableText"/>
              <w:rPr>
                <w:color w:val="7030A0"/>
              </w:rPr>
            </w:pPr>
            <w:r w:rsidRPr="00640D01">
              <w:rPr>
                <w:color w:val="7030A0"/>
              </w:rPr>
              <w:t>2010</w:t>
            </w:r>
          </w:p>
        </w:tc>
        <w:tc>
          <w:tcPr>
            <w:tcW w:w="1558" w:type="dxa"/>
            <w:vAlign w:val="center"/>
          </w:tcPr>
          <w:p w14:paraId="3D01FC66" w14:textId="1D5E77A0" w:rsidR="00662EF1" w:rsidRPr="00640D01" w:rsidRDefault="00662EF1" w:rsidP="00B815B4">
            <w:pPr>
              <w:pStyle w:val="TableText"/>
              <w:rPr>
                <w:color w:val="7030A0"/>
              </w:rPr>
            </w:pPr>
            <w:r w:rsidRPr="00640D01">
              <w:rPr>
                <w:color w:val="7030A0"/>
              </w:rPr>
              <w:t>2020</w:t>
            </w:r>
          </w:p>
        </w:tc>
        <w:tc>
          <w:tcPr>
            <w:tcW w:w="1558" w:type="dxa"/>
            <w:vAlign w:val="center"/>
          </w:tcPr>
          <w:p w14:paraId="103C9B1E" w14:textId="4C1FECB9" w:rsidR="00662EF1" w:rsidRPr="00640D01" w:rsidRDefault="00662EF1" w:rsidP="00B815B4">
            <w:pPr>
              <w:pStyle w:val="TableText"/>
              <w:rPr>
                <w:color w:val="7030A0"/>
              </w:rPr>
            </w:pPr>
            <w:r w:rsidRPr="00640D01">
              <w:rPr>
                <w:color w:val="7030A0"/>
              </w:rPr>
              <w:t>0.73</w:t>
            </w:r>
          </w:p>
        </w:tc>
        <w:tc>
          <w:tcPr>
            <w:tcW w:w="1559" w:type="dxa"/>
            <w:vAlign w:val="center"/>
          </w:tcPr>
          <w:p w14:paraId="00177B02" w14:textId="7FC94680" w:rsidR="00662EF1" w:rsidRPr="00640D01" w:rsidRDefault="00662EF1" w:rsidP="00B815B4">
            <w:pPr>
              <w:pStyle w:val="TableText"/>
              <w:rPr>
                <w:color w:val="7030A0"/>
              </w:rPr>
            </w:pPr>
            <w:r w:rsidRPr="00640D01">
              <w:rPr>
                <w:color w:val="7030A0"/>
              </w:rPr>
              <w:t>0.07</w:t>
            </w:r>
          </w:p>
        </w:tc>
        <w:tc>
          <w:tcPr>
            <w:tcW w:w="1559" w:type="dxa"/>
            <w:vAlign w:val="center"/>
          </w:tcPr>
          <w:p w14:paraId="1FD6BC8B" w14:textId="67A29FC6" w:rsidR="00662EF1" w:rsidRPr="00640D01" w:rsidRDefault="00662EF1" w:rsidP="00B815B4">
            <w:pPr>
              <w:pStyle w:val="TableText"/>
              <w:rPr>
                <w:color w:val="7030A0"/>
              </w:rPr>
            </w:pPr>
            <w:r w:rsidRPr="00640D01">
              <w:rPr>
                <w:color w:val="7030A0"/>
              </w:rPr>
              <w:t>0.00</w:t>
            </w:r>
          </w:p>
        </w:tc>
      </w:tr>
      <w:tr w:rsidR="00662EF1" w:rsidRPr="00640D01" w14:paraId="063FD2EF" w14:textId="77777777" w:rsidTr="00B815B4">
        <w:tc>
          <w:tcPr>
            <w:tcW w:w="1558" w:type="dxa"/>
            <w:vAlign w:val="center"/>
          </w:tcPr>
          <w:p w14:paraId="47BAD8F3" w14:textId="64D851C2" w:rsidR="00662EF1" w:rsidRPr="00640D01" w:rsidRDefault="00662EF1" w:rsidP="00B815B4">
            <w:pPr>
              <w:pStyle w:val="TableText"/>
              <w:rPr>
                <w:color w:val="7030A0"/>
              </w:rPr>
            </w:pPr>
            <w:r w:rsidRPr="00640D01">
              <w:rPr>
                <w:color w:val="7030A0"/>
              </w:rPr>
              <w:t>2</w:t>
            </w:r>
          </w:p>
        </w:tc>
        <w:tc>
          <w:tcPr>
            <w:tcW w:w="1558" w:type="dxa"/>
            <w:vAlign w:val="center"/>
          </w:tcPr>
          <w:p w14:paraId="6621C734" w14:textId="59C56FB8" w:rsidR="00662EF1" w:rsidRPr="00640D01" w:rsidRDefault="00662EF1" w:rsidP="00B815B4">
            <w:pPr>
              <w:pStyle w:val="TableText"/>
              <w:rPr>
                <w:color w:val="7030A0"/>
              </w:rPr>
            </w:pPr>
            <w:r w:rsidRPr="00640D01">
              <w:rPr>
                <w:color w:val="7030A0"/>
              </w:rPr>
              <w:t>2021</w:t>
            </w:r>
          </w:p>
        </w:tc>
        <w:tc>
          <w:tcPr>
            <w:tcW w:w="1558" w:type="dxa"/>
            <w:vAlign w:val="center"/>
          </w:tcPr>
          <w:p w14:paraId="38E4096E" w14:textId="065BC36F" w:rsidR="00662EF1" w:rsidRPr="00640D01" w:rsidRDefault="00662EF1" w:rsidP="00B815B4">
            <w:pPr>
              <w:pStyle w:val="TableText"/>
              <w:rPr>
                <w:color w:val="7030A0"/>
              </w:rPr>
            </w:pPr>
            <w:r w:rsidRPr="00640D01">
              <w:rPr>
                <w:color w:val="7030A0"/>
              </w:rPr>
              <w:t>2023</w:t>
            </w:r>
          </w:p>
        </w:tc>
        <w:tc>
          <w:tcPr>
            <w:tcW w:w="1558" w:type="dxa"/>
            <w:vAlign w:val="center"/>
          </w:tcPr>
          <w:p w14:paraId="1F4A9E40" w14:textId="096527C9" w:rsidR="00662EF1" w:rsidRPr="00640D01" w:rsidRDefault="00662EF1" w:rsidP="00B815B4">
            <w:pPr>
              <w:pStyle w:val="TableText"/>
              <w:rPr>
                <w:color w:val="7030A0"/>
              </w:rPr>
            </w:pPr>
            <w:r w:rsidRPr="00640D01">
              <w:rPr>
                <w:color w:val="7030A0"/>
              </w:rPr>
              <w:t>0.48</w:t>
            </w:r>
          </w:p>
        </w:tc>
        <w:tc>
          <w:tcPr>
            <w:tcW w:w="1559" w:type="dxa"/>
            <w:vAlign w:val="center"/>
          </w:tcPr>
          <w:p w14:paraId="0CA5B633" w14:textId="08B3EED0" w:rsidR="00662EF1" w:rsidRPr="00640D01" w:rsidRDefault="00662EF1" w:rsidP="00B815B4">
            <w:pPr>
              <w:pStyle w:val="TableText"/>
              <w:rPr>
                <w:color w:val="7030A0"/>
              </w:rPr>
            </w:pPr>
            <w:r w:rsidRPr="00640D01">
              <w:rPr>
                <w:color w:val="7030A0"/>
              </w:rPr>
              <w:t>0.24</w:t>
            </w:r>
          </w:p>
        </w:tc>
        <w:tc>
          <w:tcPr>
            <w:tcW w:w="1559" w:type="dxa"/>
            <w:vAlign w:val="center"/>
          </w:tcPr>
          <w:p w14:paraId="4C4B77CD" w14:textId="79DD5C27" w:rsidR="00662EF1" w:rsidRPr="00640D01" w:rsidRDefault="00662EF1" w:rsidP="00B815B4">
            <w:pPr>
              <w:pStyle w:val="TableText"/>
              <w:rPr>
                <w:color w:val="7030A0"/>
              </w:rPr>
            </w:pPr>
            <w:r w:rsidRPr="00640D01">
              <w:rPr>
                <w:color w:val="7030A0"/>
              </w:rPr>
              <w:t>0.00</w:t>
            </w:r>
          </w:p>
        </w:tc>
      </w:tr>
      <w:tr w:rsidR="00662EF1" w:rsidRPr="00640D01" w14:paraId="6A659922" w14:textId="77777777" w:rsidTr="00B815B4">
        <w:tc>
          <w:tcPr>
            <w:tcW w:w="1558" w:type="dxa"/>
            <w:vAlign w:val="center"/>
          </w:tcPr>
          <w:p w14:paraId="017C3349" w14:textId="3C254605" w:rsidR="00662EF1" w:rsidRPr="00640D01" w:rsidRDefault="00662EF1" w:rsidP="00B815B4">
            <w:pPr>
              <w:pStyle w:val="TableText"/>
              <w:rPr>
                <w:color w:val="7030A0"/>
              </w:rPr>
            </w:pPr>
            <w:r w:rsidRPr="00640D01">
              <w:rPr>
                <w:color w:val="7030A0"/>
              </w:rPr>
              <w:t>2</w:t>
            </w:r>
          </w:p>
        </w:tc>
        <w:tc>
          <w:tcPr>
            <w:tcW w:w="1558" w:type="dxa"/>
            <w:vAlign w:val="center"/>
          </w:tcPr>
          <w:p w14:paraId="14C82634" w14:textId="7CFBFF69" w:rsidR="00662EF1" w:rsidRPr="00640D01" w:rsidRDefault="00662EF1" w:rsidP="00B815B4">
            <w:pPr>
              <w:pStyle w:val="TableText"/>
              <w:rPr>
                <w:color w:val="7030A0"/>
              </w:rPr>
            </w:pPr>
            <w:r w:rsidRPr="00640D01">
              <w:rPr>
                <w:color w:val="7030A0"/>
              </w:rPr>
              <w:t>2024</w:t>
            </w:r>
          </w:p>
        </w:tc>
        <w:tc>
          <w:tcPr>
            <w:tcW w:w="1558" w:type="dxa"/>
            <w:vAlign w:val="center"/>
          </w:tcPr>
          <w:p w14:paraId="5D6E5296" w14:textId="6A8257ED" w:rsidR="00662EF1" w:rsidRPr="00640D01" w:rsidRDefault="00662EF1" w:rsidP="00B815B4">
            <w:pPr>
              <w:pStyle w:val="TableText"/>
              <w:rPr>
                <w:color w:val="7030A0"/>
              </w:rPr>
            </w:pPr>
            <w:r w:rsidRPr="00640D01">
              <w:rPr>
                <w:color w:val="7030A0"/>
              </w:rPr>
              <w:t>2026</w:t>
            </w:r>
          </w:p>
        </w:tc>
        <w:tc>
          <w:tcPr>
            <w:tcW w:w="1558" w:type="dxa"/>
            <w:vAlign w:val="center"/>
          </w:tcPr>
          <w:p w14:paraId="6C632496" w14:textId="257417CF" w:rsidR="00662EF1" w:rsidRPr="00640D01" w:rsidRDefault="00662EF1" w:rsidP="00B815B4">
            <w:pPr>
              <w:pStyle w:val="TableText"/>
              <w:rPr>
                <w:color w:val="7030A0"/>
              </w:rPr>
            </w:pPr>
            <w:r w:rsidRPr="00640D01">
              <w:rPr>
                <w:color w:val="7030A0"/>
              </w:rPr>
              <w:t>0.40</w:t>
            </w:r>
          </w:p>
        </w:tc>
        <w:tc>
          <w:tcPr>
            <w:tcW w:w="1559" w:type="dxa"/>
            <w:vAlign w:val="center"/>
          </w:tcPr>
          <w:p w14:paraId="327F79CA" w14:textId="71C22B93" w:rsidR="00662EF1" w:rsidRPr="00640D01" w:rsidRDefault="00662EF1" w:rsidP="00B815B4">
            <w:pPr>
              <w:pStyle w:val="TableText"/>
              <w:rPr>
                <w:color w:val="7030A0"/>
              </w:rPr>
            </w:pPr>
            <w:r w:rsidRPr="00640D01">
              <w:rPr>
                <w:color w:val="7030A0"/>
              </w:rPr>
              <w:t>0.32</w:t>
            </w:r>
          </w:p>
        </w:tc>
        <w:tc>
          <w:tcPr>
            <w:tcW w:w="1559" w:type="dxa"/>
            <w:vAlign w:val="center"/>
          </w:tcPr>
          <w:p w14:paraId="5F70186B" w14:textId="410E9C44" w:rsidR="00662EF1" w:rsidRPr="00640D01" w:rsidRDefault="00662EF1" w:rsidP="00B815B4">
            <w:pPr>
              <w:pStyle w:val="TableText"/>
              <w:rPr>
                <w:color w:val="7030A0"/>
              </w:rPr>
            </w:pPr>
            <w:r w:rsidRPr="00640D01">
              <w:rPr>
                <w:color w:val="7030A0"/>
              </w:rPr>
              <w:t>0.00</w:t>
            </w:r>
          </w:p>
        </w:tc>
      </w:tr>
      <w:tr w:rsidR="00662EF1" w:rsidRPr="00640D01" w14:paraId="066531BF" w14:textId="77777777" w:rsidTr="00B815B4">
        <w:tc>
          <w:tcPr>
            <w:tcW w:w="1558" w:type="dxa"/>
            <w:vAlign w:val="center"/>
          </w:tcPr>
          <w:p w14:paraId="0730DF85" w14:textId="688DABE6" w:rsidR="00662EF1" w:rsidRPr="00640D01" w:rsidRDefault="00662EF1" w:rsidP="00B815B4">
            <w:pPr>
              <w:pStyle w:val="TableText"/>
              <w:rPr>
                <w:color w:val="7030A0"/>
              </w:rPr>
            </w:pPr>
            <w:r w:rsidRPr="00640D01">
              <w:rPr>
                <w:color w:val="7030A0"/>
              </w:rPr>
              <w:t>2</w:t>
            </w:r>
          </w:p>
        </w:tc>
        <w:tc>
          <w:tcPr>
            <w:tcW w:w="1558" w:type="dxa"/>
            <w:vAlign w:val="center"/>
          </w:tcPr>
          <w:p w14:paraId="78FBA850" w14:textId="1E089689" w:rsidR="00662EF1" w:rsidRPr="00640D01" w:rsidRDefault="00662EF1" w:rsidP="00B815B4">
            <w:pPr>
              <w:pStyle w:val="TableText"/>
              <w:rPr>
                <w:color w:val="7030A0"/>
              </w:rPr>
            </w:pPr>
            <w:r w:rsidRPr="00640D01">
              <w:rPr>
                <w:color w:val="7030A0"/>
              </w:rPr>
              <w:t>2027</w:t>
            </w:r>
          </w:p>
        </w:tc>
        <w:tc>
          <w:tcPr>
            <w:tcW w:w="1558" w:type="dxa"/>
            <w:vAlign w:val="center"/>
          </w:tcPr>
          <w:p w14:paraId="6974EB56" w14:textId="4A83C289" w:rsidR="00662EF1" w:rsidRPr="00640D01" w:rsidRDefault="00662EF1" w:rsidP="00B815B4">
            <w:pPr>
              <w:pStyle w:val="TableText"/>
              <w:rPr>
                <w:color w:val="7030A0"/>
              </w:rPr>
            </w:pPr>
            <w:r w:rsidRPr="00640D01">
              <w:rPr>
                <w:color w:val="7030A0"/>
              </w:rPr>
              <w:t>2060</w:t>
            </w:r>
          </w:p>
        </w:tc>
        <w:tc>
          <w:tcPr>
            <w:tcW w:w="1558" w:type="dxa"/>
            <w:vAlign w:val="center"/>
          </w:tcPr>
          <w:p w14:paraId="45754032" w14:textId="3BCAE786" w:rsidR="00662EF1" w:rsidRPr="00640D01" w:rsidRDefault="00662EF1" w:rsidP="00B815B4">
            <w:pPr>
              <w:pStyle w:val="TableText"/>
              <w:rPr>
                <w:color w:val="7030A0"/>
              </w:rPr>
            </w:pPr>
            <w:r w:rsidRPr="00640D01">
              <w:rPr>
                <w:color w:val="7030A0"/>
              </w:rPr>
              <w:t>0.36</w:t>
            </w:r>
          </w:p>
        </w:tc>
        <w:tc>
          <w:tcPr>
            <w:tcW w:w="1559" w:type="dxa"/>
            <w:vAlign w:val="center"/>
          </w:tcPr>
          <w:p w14:paraId="3E2CA4F7" w14:textId="7220CCC7" w:rsidR="00662EF1" w:rsidRPr="00640D01" w:rsidRDefault="00662EF1" w:rsidP="00B815B4">
            <w:pPr>
              <w:pStyle w:val="TableText"/>
              <w:rPr>
                <w:color w:val="7030A0"/>
              </w:rPr>
            </w:pPr>
            <w:r w:rsidRPr="00640D01">
              <w:rPr>
                <w:color w:val="7030A0"/>
              </w:rPr>
              <w:t>0.32</w:t>
            </w:r>
          </w:p>
        </w:tc>
        <w:tc>
          <w:tcPr>
            <w:tcW w:w="1559" w:type="dxa"/>
            <w:vAlign w:val="center"/>
          </w:tcPr>
          <w:p w14:paraId="51C179A9" w14:textId="6F5CEAF9" w:rsidR="00662EF1" w:rsidRPr="00640D01" w:rsidRDefault="00662EF1" w:rsidP="00B815B4">
            <w:pPr>
              <w:pStyle w:val="TableText"/>
              <w:rPr>
                <w:color w:val="7030A0"/>
              </w:rPr>
            </w:pPr>
            <w:r w:rsidRPr="00640D01">
              <w:rPr>
                <w:color w:val="7030A0"/>
              </w:rPr>
              <w:t>0.00</w:t>
            </w:r>
          </w:p>
        </w:tc>
      </w:tr>
      <w:tr w:rsidR="00662EF1" w:rsidRPr="00640D01" w14:paraId="12AF0AEB" w14:textId="77777777" w:rsidTr="00B815B4">
        <w:tc>
          <w:tcPr>
            <w:tcW w:w="1558" w:type="dxa"/>
            <w:vAlign w:val="center"/>
          </w:tcPr>
          <w:p w14:paraId="49AE1EA2" w14:textId="5AAF35E3" w:rsidR="00662EF1" w:rsidRPr="00640D01" w:rsidRDefault="00662EF1" w:rsidP="00B815B4">
            <w:pPr>
              <w:pStyle w:val="TableText"/>
              <w:rPr>
                <w:color w:val="7030A0"/>
              </w:rPr>
            </w:pPr>
            <w:r w:rsidRPr="00640D01">
              <w:rPr>
                <w:color w:val="7030A0"/>
              </w:rPr>
              <w:t>3</w:t>
            </w:r>
          </w:p>
        </w:tc>
        <w:tc>
          <w:tcPr>
            <w:tcW w:w="1558" w:type="dxa"/>
            <w:vAlign w:val="center"/>
          </w:tcPr>
          <w:p w14:paraId="37DA19E0" w14:textId="0EB320CE" w:rsidR="00662EF1" w:rsidRPr="00640D01" w:rsidRDefault="00662EF1" w:rsidP="00B815B4">
            <w:pPr>
              <w:pStyle w:val="TableText"/>
              <w:rPr>
                <w:color w:val="7030A0"/>
              </w:rPr>
            </w:pPr>
            <w:r w:rsidRPr="00640D01">
              <w:rPr>
                <w:color w:val="7030A0"/>
              </w:rPr>
              <w:t>1960</w:t>
            </w:r>
          </w:p>
        </w:tc>
        <w:tc>
          <w:tcPr>
            <w:tcW w:w="1558" w:type="dxa"/>
            <w:vAlign w:val="center"/>
          </w:tcPr>
          <w:p w14:paraId="451F64DD" w14:textId="08FE426D" w:rsidR="00662EF1" w:rsidRPr="00640D01" w:rsidRDefault="00662EF1" w:rsidP="00B815B4">
            <w:pPr>
              <w:pStyle w:val="TableText"/>
              <w:rPr>
                <w:color w:val="7030A0"/>
              </w:rPr>
            </w:pPr>
            <w:r w:rsidRPr="00640D01">
              <w:rPr>
                <w:color w:val="7030A0"/>
              </w:rPr>
              <w:t>2020</w:t>
            </w:r>
          </w:p>
        </w:tc>
        <w:tc>
          <w:tcPr>
            <w:tcW w:w="1558" w:type="dxa"/>
            <w:vAlign w:val="center"/>
          </w:tcPr>
          <w:p w14:paraId="606D5EDB" w14:textId="1D46FCEF" w:rsidR="00662EF1" w:rsidRPr="00640D01" w:rsidRDefault="00662EF1" w:rsidP="00B815B4">
            <w:pPr>
              <w:pStyle w:val="TableText"/>
              <w:rPr>
                <w:color w:val="7030A0"/>
              </w:rPr>
            </w:pPr>
            <w:r w:rsidRPr="00640D01">
              <w:rPr>
                <w:color w:val="7030A0"/>
              </w:rPr>
              <w:t>0.80</w:t>
            </w:r>
          </w:p>
        </w:tc>
        <w:tc>
          <w:tcPr>
            <w:tcW w:w="1559" w:type="dxa"/>
            <w:vAlign w:val="center"/>
          </w:tcPr>
          <w:p w14:paraId="5EDCD8F7" w14:textId="47620C2E" w:rsidR="00662EF1" w:rsidRPr="00640D01" w:rsidRDefault="00662EF1" w:rsidP="00B815B4">
            <w:pPr>
              <w:pStyle w:val="TableText"/>
              <w:rPr>
                <w:color w:val="7030A0"/>
              </w:rPr>
            </w:pPr>
            <w:r w:rsidRPr="00640D01">
              <w:rPr>
                <w:color w:val="7030A0"/>
              </w:rPr>
              <w:t>0.00</w:t>
            </w:r>
          </w:p>
        </w:tc>
        <w:tc>
          <w:tcPr>
            <w:tcW w:w="1559" w:type="dxa"/>
            <w:vAlign w:val="center"/>
          </w:tcPr>
          <w:p w14:paraId="597C5AAA" w14:textId="177A12C3" w:rsidR="00662EF1" w:rsidRPr="00640D01" w:rsidRDefault="00662EF1" w:rsidP="00B815B4">
            <w:pPr>
              <w:pStyle w:val="TableText"/>
              <w:rPr>
                <w:color w:val="7030A0"/>
              </w:rPr>
            </w:pPr>
            <w:r w:rsidRPr="00640D01">
              <w:rPr>
                <w:color w:val="7030A0"/>
              </w:rPr>
              <w:t>0.00</w:t>
            </w:r>
          </w:p>
        </w:tc>
      </w:tr>
      <w:tr w:rsidR="00662EF1" w:rsidRPr="00640D01" w14:paraId="2C18726D" w14:textId="77777777" w:rsidTr="00B815B4">
        <w:tc>
          <w:tcPr>
            <w:tcW w:w="1558" w:type="dxa"/>
            <w:vAlign w:val="center"/>
          </w:tcPr>
          <w:p w14:paraId="09786FB3" w14:textId="412E7258" w:rsidR="00662EF1" w:rsidRPr="00640D01" w:rsidRDefault="00662EF1" w:rsidP="00B815B4">
            <w:pPr>
              <w:pStyle w:val="TableText"/>
              <w:rPr>
                <w:color w:val="7030A0"/>
              </w:rPr>
            </w:pPr>
            <w:r w:rsidRPr="00640D01">
              <w:rPr>
                <w:color w:val="7030A0"/>
              </w:rPr>
              <w:t>3</w:t>
            </w:r>
          </w:p>
        </w:tc>
        <w:tc>
          <w:tcPr>
            <w:tcW w:w="1558" w:type="dxa"/>
            <w:vAlign w:val="center"/>
          </w:tcPr>
          <w:p w14:paraId="6C61D741" w14:textId="2DE579F4" w:rsidR="00662EF1" w:rsidRPr="00640D01" w:rsidRDefault="00662EF1" w:rsidP="00B815B4">
            <w:pPr>
              <w:pStyle w:val="TableText"/>
              <w:rPr>
                <w:color w:val="7030A0"/>
              </w:rPr>
            </w:pPr>
            <w:r w:rsidRPr="00640D01">
              <w:rPr>
                <w:color w:val="7030A0"/>
              </w:rPr>
              <w:t>2021</w:t>
            </w:r>
          </w:p>
        </w:tc>
        <w:tc>
          <w:tcPr>
            <w:tcW w:w="1558" w:type="dxa"/>
            <w:vAlign w:val="center"/>
          </w:tcPr>
          <w:p w14:paraId="008BBF6B" w14:textId="57845344" w:rsidR="00662EF1" w:rsidRPr="00640D01" w:rsidRDefault="00662EF1" w:rsidP="00B815B4">
            <w:pPr>
              <w:pStyle w:val="TableText"/>
              <w:rPr>
                <w:color w:val="7030A0"/>
              </w:rPr>
            </w:pPr>
            <w:r w:rsidRPr="00640D01">
              <w:rPr>
                <w:color w:val="7030A0"/>
              </w:rPr>
              <w:t>2026</w:t>
            </w:r>
          </w:p>
        </w:tc>
        <w:tc>
          <w:tcPr>
            <w:tcW w:w="1558" w:type="dxa"/>
            <w:vAlign w:val="center"/>
          </w:tcPr>
          <w:p w14:paraId="0C3B2771" w14:textId="0A7B3870" w:rsidR="00662EF1" w:rsidRPr="00640D01" w:rsidRDefault="00662EF1" w:rsidP="00B815B4">
            <w:pPr>
              <w:pStyle w:val="TableText"/>
              <w:rPr>
                <w:color w:val="7030A0"/>
              </w:rPr>
            </w:pPr>
            <w:r w:rsidRPr="00640D01">
              <w:rPr>
                <w:color w:val="7030A0"/>
              </w:rPr>
              <w:t>0.72</w:t>
            </w:r>
          </w:p>
        </w:tc>
        <w:tc>
          <w:tcPr>
            <w:tcW w:w="1559" w:type="dxa"/>
            <w:vAlign w:val="center"/>
          </w:tcPr>
          <w:p w14:paraId="5464DD09" w14:textId="3430E745" w:rsidR="00662EF1" w:rsidRPr="00640D01" w:rsidRDefault="00662EF1" w:rsidP="00B815B4">
            <w:pPr>
              <w:pStyle w:val="TableText"/>
              <w:rPr>
                <w:color w:val="7030A0"/>
              </w:rPr>
            </w:pPr>
            <w:r w:rsidRPr="00640D01">
              <w:rPr>
                <w:color w:val="7030A0"/>
              </w:rPr>
              <w:t>0.00</w:t>
            </w:r>
          </w:p>
        </w:tc>
        <w:tc>
          <w:tcPr>
            <w:tcW w:w="1559" w:type="dxa"/>
            <w:vAlign w:val="center"/>
          </w:tcPr>
          <w:p w14:paraId="3C809672" w14:textId="53251FF3" w:rsidR="00662EF1" w:rsidRPr="00640D01" w:rsidRDefault="00662EF1" w:rsidP="00B815B4">
            <w:pPr>
              <w:pStyle w:val="TableText"/>
              <w:rPr>
                <w:color w:val="7030A0"/>
              </w:rPr>
            </w:pPr>
            <w:r w:rsidRPr="00640D01">
              <w:rPr>
                <w:color w:val="7030A0"/>
              </w:rPr>
              <w:t>0.00</w:t>
            </w:r>
          </w:p>
        </w:tc>
      </w:tr>
      <w:tr w:rsidR="00662EF1" w:rsidRPr="00640D01" w14:paraId="51442903" w14:textId="77777777" w:rsidTr="00B815B4">
        <w:tc>
          <w:tcPr>
            <w:tcW w:w="1558" w:type="dxa"/>
            <w:vAlign w:val="center"/>
          </w:tcPr>
          <w:p w14:paraId="66406DBF" w14:textId="52479DF8" w:rsidR="00662EF1" w:rsidRPr="00640D01" w:rsidRDefault="00662EF1" w:rsidP="00B815B4">
            <w:pPr>
              <w:pStyle w:val="TableText"/>
              <w:rPr>
                <w:color w:val="7030A0"/>
              </w:rPr>
            </w:pPr>
            <w:r w:rsidRPr="00640D01">
              <w:rPr>
                <w:color w:val="7030A0"/>
              </w:rPr>
              <w:t>3</w:t>
            </w:r>
          </w:p>
        </w:tc>
        <w:tc>
          <w:tcPr>
            <w:tcW w:w="1558" w:type="dxa"/>
            <w:vAlign w:val="center"/>
          </w:tcPr>
          <w:p w14:paraId="50BF2C86" w14:textId="20841421" w:rsidR="00662EF1" w:rsidRPr="00640D01" w:rsidRDefault="00662EF1" w:rsidP="00B815B4">
            <w:pPr>
              <w:pStyle w:val="TableText"/>
              <w:rPr>
                <w:color w:val="7030A0"/>
              </w:rPr>
            </w:pPr>
            <w:r w:rsidRPr="00640D01">
              <w:rPr>
                <w:color w:val="7030A0"/>
              </w:rPr>
              <w:t>2027</w:t>
            </w:r>
          </w:p>
        </w:tc>
        <w:tc>
          <w:tcPr>
            <w:tcW w:w="1558" w:type="dxa"/>
            <w:vAlign w:val="center"/>
          </w:tcPr>
          <w:p w14:paraId="511BFF59" w14:textId="0604F216" w:rsidR="00662EF1" w:rsidRPr="00640D01" w:rsidRDefault="00662EF1" w:rsidP="00B815B4">
            <w:pPr>
              <w:pStyle w:val="TableText"/>
              <w:rPr>
                <w:color w:val="7030A0"/>
              </w:rPr>
            </w:pPr>
            <w:r w:rsidRPr="00640D01">
              <w:rPr>
                <w:color w:val="7030A0"/>
              </w:rPr>
              <w:t>2060</w:t>
            </w:r>
          </w:p>
        </w:tc>
        <w:tc>
          <w:tcPr>
            <w:tcW w:w="1558" w:type="dxa"/>
            <w:vAlign w:val="center"/>
          </w:tcPr>
          <w:p w14:paraId="3A1FDE09" w14:textId="06C7DD09" w:rsidR="00662EF1" w:rsidRPr="00640D01" w:rsidRDefault="00662EF1" w:rsidP="00B815B4">
            <w:pPr>
              <w:pStyle w:val="TableText"/>
              <w:rPr>
                <w:color w:val="7030A0"/>
              </w:rPr>
            </w:pPr>
            <w:r w:rsidRPr="00640D01">
              <w:rPr>
                <w:color w:val="7030A0"/>
              </w:rPr>
              <w:t>0.68</w:t>
            </w:r>
          </w:p>
        </w:tc>
        <w:tc>
          <w:tcPr>
            <w:tcW w:w="1559" w:type="dxa"/>
            <w:vAlign w:val="center"/>
          </w:tcPr>
          <w:p w14:paraId="7395DDE7" w14:textId="3C7747BC" w:rsidR="00662EF1" w:rsidRPr="00640D01" w:rsidRDefault="00662EF1" w:rsidP="00B815B4">
            <w:pPr>
              <w:pStyle w:val="TableText"/>
              <w:rPr>
                <w:color w:val="7030A0"/>
              </w:rPr>
            </w:pPr>
            <w:r w:rsidRPr="00640D01">
              <w:rPr>
                <w:color w:val="7030A0"/>
              </w:rPr>
              <w:t>0.00</w:t>
            </w:r>
          </w:p>
        </w:tc>
        <w:tc>
          <w:tcPr>
            <w:tcW w:w="1559" w:type="dxa"/>
            <w:vAlign w:val="center"/>
          </w:tcPr>
          <w:p w14:paraId="576ED091" w14:textId="4707CA3E" w:rsidR="00662EF1" w:rsidRPr="00640D01" w:rsidRDefault="00662EF1" w:rsidP="00B815B4">
            <w:pPr>
              <w:pStyle w:val="TableText"/>
              <w:rPr>
                <w:color w:val="7030A0"/>
              </w:rPr>
            </w:pPr>
            <w:r w:rsidRPr="00640D01">
              <w:rPr>
                <w:color w:val="7030A0"/>
              </w:rPr>
              <w:t>0.00</w:t>
            </w:r>
          </w:p>
        </w:tc>
      </w:tr>
      <w:tr w:rsidR="00662EF1" w:rsidRPr="00640D01" w14:paraId="10B4BC58" w14:textId="77777777" w:rsidTr="00B815B4">
        <w:tc>
          <w:tcPr>
            <w:tcW w:w="1558" w:type="dxa"/>
            <w:vAlign w:val="center"/>
          </w:tcPr>
          <w:p w14:paraId="0A8FC6DB" w14:textId="10E6894A" w:rsidR="00662EF1" w:rsidRPr="00640D01" w:rsidRDefault="00662EF1" w:rsidP="00B815B4">
            <w:pPr>
              <w:pStyle w:val="TableText"/>
              <w:rPr>
                <w:color w:val="7030A0"/>
              </w:rPr>
            </w:pPr>
            <w:r w:rsidRPr="00640D01">
              <w:rPr>
                <w:color w:val="7030A0"/>
              </w:rPr>
              <w:t>9</w:t>
            </w:r>
          </w:p>
        </w:tc>
        <w:tc>
          <w:tcPr>
            <w:tcW w:w="1558" w:type="dxa"/>
            <w:vAlign w:val="center"/>
          </w:tcPr>
          <w:p w14:paraId="48CC689E" w14:textId="772D8A69" w:rsidR="00662EF1" w:rsidRPr="00640D01" w:rsidRDefault="00662EF1" w:rsidP="00B815B4">
            <w:pPr>
              <w:pStyle w:val="TableText"/>
              <w:rPr>
                <w:color w:val="7030A0"/>
              </w:rPr>
            </w:pPr>
            <w:r w:rsidRPr="00640D01">
              <w:rPr>
                <w:color w:val="7030A0"/>
              </w:rPr>
              <w:t>1960</w:t>
            </w:r>
          </w:p>
        </w:tc>
        <w:tc>
          <w:tcPr>
            <w:tcW w:w="1558" w:type="dxa"/>
            <w:vAlign w:val="center"/>
          </w:tcPr>
          <w:p w14:paraId="64D663EA" w14:textId="2923D6A2" w:rsidR="00662EF1" w:rsidRPr="00640D01" w:rsidRDefault="00662EF1" w:rsidP="00B815B4">
            <w:pPr>
              <w:pStyle w:val="TableText"/>
              <w:rPr>
                <w:color w:val="7030A0"/>
              </w:rPr>
            </w:pPr>
            <w:r w:rsidRPr="00640D01">
              <w:rPr>
                <w:color w:val="7030A0"/>
              </w:rPr>
              <w:t>2060</w:t>
            </w:r>
          </w:p>
        </w:tc>
        <w:tc>
          <w:tcPr>
            <w:tcW w:w="1558" w:type="dxa"/>
            <w:vAlign w:val="center"/>
          </w:tcPr>
          <w:p w14:paraId="0FC40524" w14:textId="5EEDBB53" w:rsidR="00662EF1" w:rsidRPr="00640D01" w:rsidRDefault="00662EF1" w:rsidP="00B815B4">
            <w:pPr>
              <w:pStyle w:val="TableText"/>
              <w:rPr>
                <w:color w:val="7030A0"/>
              </w:rPr>
            </w:pPr>
            <w:r w:rsidRPr="00640D01">
              <w:rPr>
                <w:color w:val="7030A0"/>
              </w:rPr>
              <w:t>0.00</w:t>
            </w:r>
          </w:p>
        </w:tc>
        <w:tc>
          <w:tcPr>
            <w:tcW w:w="1559" w:type="dxa"/>
            <w:vAlign w:val="center"/>
          </w:tcPr>
          <w:p w14:paraId="6E05F697" w14:textId="61383B03" w:rsidR="00662EF1" w:rsidRPr="00640D01" w:rsidRDefault="00662EF1" w:rsidP="00B815B4">
            <w:pPr>
              <w:pStyle w:val="TableText"/>
              <w:rPr>
                <w:color w:val="7030A0"/>
              </w:rPr>
            </w:pPr>
            <w:r w:rsidRPr="00640D01">
              <w:rPr>
                <w:color w:val="7030A0"/>
              </w:rPr>
              <w:t>0.00</w:t>
            </w:r>
          </w:p>
        </w:tc>
        <w:tc>
          <w:tcPr>
            <w:tcW w:w="1559" w:type="dxa"/>
            <w:vAlign w:val="center"/>
          </w:tcPr>
          <w:p w14:paraId="75D1E7C1" w14:textId="453CD674" w:rsidR="00662EF1" w:rsidRPr="00640D01" w:rsidRDefault="00662EF1" w:rsidP="00B815B4">
            <w:pPr>
              <w:pStyle w:val="TableText"/>
              <w:rPr>
                <w:color w:val="7030A0"/>
              </w:rPr>
            </w:pPr>
            <w:r w:rsidRPr="00640D01">
              <w:rPr>
                <w:color w:val="7030A0"/>
              </w:rPr>
              <w:t>0.80</w:t>
            </w:r>
          </w:p>
        </w:tc>
      </w:tr>
    </w:tbl>
    <w:p w14:paraId="2FEE45F8" w14:textId="44F884F4" w:rsidR="00B230C5" w:rsidRPr="00640D01" w:rsidRDefault="000F4D8D" w:rsidP="00176A31">
      <w:pPr>
        <w:pStyle w:val="BodyText"/>
        <w:spacing w:before="240"/>
      </w:pPr>
      <w:r w:rsidRPr="00640D01">
        <w:lastRenderedPageBreak/>
        <w:t xml:space="preserve">The total </w:t>
      </w:r>
      <w:r w:rsidR="00B270E9" w:rsidRPr="00640D01">
        <w:t>SHEI</w:t>
      </w:r>
      <w:r w:rsidRPr="00640D01">
        <w:t xml:space="preserve"> and APU hours fractions were then each multiplied by the hoteling hours for each hour of the day to produce the </w:t>
      </w:r>
      <w:r w:rsidR="00B270E9" w:rsidRPr="00640D01">
        <w:t>SHEI</w:t>
      </w:r>
      <w:r w:rsidRPr="00640D01">
        <w:t xml:space="preserve"> and APU hours estimates for each hour. This was performed for each analysis scenario (</w:t>
      </w:r>
      <w:r w:rsidR="00677668" w:rsidRPr="00640D01">
        <w:t>analysis-</w:t>
      </w:r>
      <w:r w:rsidRPr="00640D01">
        <w:t>year summer weekday).</w:t>
      </w:r>
      <w:r w:rsidR="00B230C5" w:rsidRPr="00640D01">
        <w:br w:type="page"/>
      </w:r>
    </w:p>
    <w:p w14:paraId="7FFF7C8B" w14:textId="2C075255" w:rsidR="00017A79" w:rsidRPr="00640D01" w:rsidRDefault="00017A79" w:rsidP="00861F03">
      <w:pPr>
        <w:pStyle w:val="Heading1"/>
      </w:pPr>
      <w:bookmarkStart w:id="94" w:name="_Toc190242724"/>
      <w:r w:rsidRPr="00640D01">
        <w:lastRenderedPageBreak/>
        <w:t>Emissions Factor Estimation</w:t>
      </w:r>
      <w:bookmarkEnd w:id="94"/>
    </w:p>
    <w:p w14:paraId="311C466B" w14:textId="056C6B8C" w:rsidR="006654EF" w:rsidRPr="00640D01" w:rsidRDefault="006654EF" w:rsidP="00B95FFB">
      <w:pPr>
        <w:pStyle w:val="BodyText"/>
      </w:pPr>
      <w:r w:rsidRPr="00640D01">
        <w:t>A regional emissions analysis must be conducted for multiple analysis years to satisfy the requirements of 40 CFR 93.109 of the conformity rule for ozone nonattainment areas.</w:t>
      </w:r>
      <w:r w:rsidR="00337AE7" w:rsidRPr="00640D01">
        <w:t xml:space="preserve"> Specifically, the regional emissions analysis is used to conduct the emission budget test </w:t>
      </w:r>
      <w:r w:rsidR="00D1102D" w:rsidRPr="00640D01">
        <w:t xml:space="preserve">(or interim emission tests) </w:t>
      </w:r>
      <w:r w:rsidR="00337AE7" w:rsidRPr="00640D01">
        <w:t xml:space="preserve">and to determine any contributions to emission reductions. The procedures for determining regional transportation-related emissions are described in </w:t>
      </w:r>
      <w:hyperlink r:id="rId34" w:history="1">
        <w:r w:rsidR="00337AE7" w:rsidRPr="00640D01">
          <w:rPr>
            <w:rStyle w:val="Hyperlink"/>
          </w:rPr>
          <w:t>40 CFR 93.118</w:t>
        </w:r>
      </w:hyperlink>
      <w:r w:rsidR="00337AE7" w:rsidRPr="00640D01">
        <w:t xml:space="preserve"> of the conformity rule. Th</w:t>
      </w:r>
      <w:r w:rsidR="00B95FFB" w:rsidRPr="00640D01">
        <w:t>is</w:t>
      </w:r>
      <w:r w:rsidR="00337AE7" w:rsidRPr="00640D01">
        <w:t xml:space="preserve"> section discuss</w:t>
      </w:r>
      <w:r w:rsidR="00B95FFB" w:rsidRPr="00640D01">
        <w:t>es</w:t>
      </w:r>
      <w:r w:rsidR="00337AE7" w:rsidRPr="00640D01">
        <w:t xml:space="preserve"> the analysis </w:t>
      </w:r>
      <w:r w:rsidR="007B1358" w:rsidRPr="00640D01">
        <w:t>years,</w:t>
      </w:r>
      <w:r w:rsidR="00337AE7" w:rsidRPr="00640D01">
        <w:t xml:space="preserve"> and the modeling processes used to conduct the analysis.</w:t>
      </w:r>
    </w:p>
    <w:p w14:paraId="054226A0" w14:textId="77777777" w:rsidR="0011731C" w:rsidRPr="00640D01" w:rsidRDefault="00017A79" w:rsidP="00B95FFB">
      <w:pPr>
        <w:pStyle w:val="Heading2"/>
      </w:pPr>
      <w:bookmarkStart w:id="95" w:name="_Toc190242725"/>
      <w:r w:rsidRPr="00640D01">
        <w:t>Emissions Factor Estimation Model</w:t>
      </w:r>
      <w:bookmarkEnd w:id="95"/>
    </w:p>
    <w:p w14:paraId="28133F0F" w14:textId="634BD579" w:rsidR="006969F2" w:rsidRPr="00640D01" w:rsidRDefault="006969F2" w:rsidP="00B95FFB">
      <w:pPr>
        <w:pStyle w:val="BodyText"/>
      </w:pPr>
      <w:r w:rsidRPr="00640D01">
        <w:t xml:space="preserve">According to </w:t>
      </w:r>
      <w:hyperlink r:id="rId35" w:history="1">
        <w:r w:rsidRPr="00640D01">
          <w:rPr>
            <w:rStyle w:val="Hyperlink"/>
          </w:rPr>
          <w:t>40 CFR 93.111</w:t>
        </w:r>
      </w:hyperlink>
      <w:r w:rsidRPr="00640D01">
        <w:t xml:space="preserve"> of the conformity rule, the determination must be based on the latest emission estimation model.</w:t>
      </w:r>
      <w:r w:rsidR="00AA26DF" w:rsidRPr="00640D01">
        <w:t xml:space="preserve"> EPA released the new MOVES model, </w:t>
      </w:r>
      <w:r w:rsidR="00294919" w:rsidRPr="00640D01">
        <w:rPr>
          <w:b/>
          <w:bCs/>
          <w:color w:val="7030A0"/>
        </w:rPr>
        <w:fldChar w:fldCharType="begin"/>
      </w:r>
      <w:r w:rsidR="00294919" w:rsidRPr="00640D01">
        <w:instrText xml:space="preserve"> REF MOVES \h </w:instrText>
      </w:r>
      <w:r w:rsidR="00294919" w:rsidRPr="00640D01">
        <w:rPr>
          <w:b/>
          <w:bCs/>
          <w:color w:val="7030A0"/>
        </w:rPr>
      </w:r>
      <w:r w:rsidR="00294919" w:rsidRPr="00640D01">
        <w:rPr>
          <w:b/>
          <w:bCs/>
          <w:color w:val="7030A0"/>
        </w:rPr>
        <w:fldChar w:fldCharType="separate"/>
      </w:r>
      <w:sdt>
        <w:sdtPr>
          <w:rPr>
            <w:b/>
            <w:bCs/>
            <w:color w:val="C00000"/>
          </w:rPr>
          <w:id w:val="1104001787"/>
          <w:placeholder>
            <w:docPart w:val="B0EC11087CA64431AA91CC41D8E72DB0"/>
          </w:placeholder>
          <w:showingPlcHdr/>
          <w:dropDownList>
            <w:listItem w:value="Choose an item."/>
            <w:listItem w:displayText="MOVES3" w:value="MOVES3"/>
            <w:listItem w:displayText="MOVES4" w:value="MOVES4"/>
            <w:listItem w:displayText="MOVES5" w:value="MOVES5"/>
          </w:dropDownList>
        </w:sdtPr>
        <w:sdtContent>
          <w:r w:rsidR="00514311" w:rsidRPr="00640D01">
            <w:rPr>
              <w:b/>
              <w:bCs/>
              <w:color w:val="C00000"/>
            </w:rPr>
            <w:t>[MOVES version]</w:t>
          </w:r>
        </w:sdtContent>
      </w:sdt>
      <w:r w:rsidR="00294919" w:rsidRPr="00640D01">
        <w:rPr>
          <w:b/>
          <w:bCs/>
          <w:color w:val="7030A0"/>
        </w:rPr>
        <w:fldChar w:fldCharType="end"/>
      </w:r>
      <w:r w:rsidR="00ED0411" w:rsidRPr="00640D01">
        <w:rPr>
          <w:b/>
          <w:bCs/>
          <w:color w:val="7030A0"/>
        </w:rPr>
        <w:t xml:space="preserve">, </w:t>
      </w:r>
      <w:r w:rsidR="00294919" w:rsidRPr="00640D01">
        <w:t xml:space="preserve">that was released </w:t>
      </w:r>
      <w:r w:rsidR="00AA26DF" w:rsidRPr="00640D01">
        <w:t xml:space="preserve">in </w:t>
      </w:r>
      <w:r w:rsidR="00D727FF" w:rsidRPr="00176A31">
        <w:rPr>
          <w:color w:val="7030A0"/>
        </w:rPr>
        <w:t>[</w:t>
      </w:r>
      <w:r w:rsidR="00D727FF" w:rsidRPr="00640D01">
        <w:rPr>
          <w:b/>
          <w:bCs/>
          <w:color w:val="7030A0"/>
        </w:rPr>
        <w:t>latest MOVES version release date</w:t>
      </w:r>
      <w:r w:rsidR="00D727FF" w:rsidRPr="00176A31">
        <w:rPr>
          <w:color w:val="7030A0"/>
        </w:rPr>
        <w:t>]</w:t>
      </w:r>
      <w:r w:rsidR="00AA26DF" w:rsidRPr="00640D01">
        <w:t xml:space="preserve">, with an effective date of </w:t>
      </w:r>
      <w:r w:rsidR="00D727FF" w:rsidRPr="00176A31">
        <w:rPr>
          <w:color w:val="7030A0"/>
        </w:rPr>
        <w:t>[</w:t>
      </w:r>
      <w:r w:rsidR="009B66B3" w:rsidRPr="00640D01">
        <w:rPr>
          <w:b/>
          <w:bCs/>
          <w:color w:val="7030A0"/>
        </w:rPr>
        <w:t xml:space="preserve">effective date </w:t>
      </w:r>
      <w:r w:rsidR="00D727FF" w:rsidRPr="00640D01">
        <w:rPr>
          <w:b/>
          <w:bCs/>
          <w:color w:val="7030A0"/>
        </w:rPr>
        <w:t>of latest MOVES version]</w:t>
      </w:r>
      <w:r w:rsidR="00AA26DF" w:rsidRPr="00640D01">
        <w:t xml:space="preserve">. </w:t>
      </w:r>
      <w:r w:rsidR="00CE703E" w:rsidRPr="00640D01">
        <w:rPr>
          <w:color w:val="7030A0"/>
        </w:rPr>
        <w:t>[</w:t>
      </w:r>
      <w:r w:rsidR="00CE703E" w:rsidRPr="00640D01">
        <w:rPr>
          <w:b/>
          <w:bCs/>
          <w:color w:val="7030A0"/>
        </w:rPr>
        <w:t>Description of grace period</w:t>
      </w:r>
      <w:r w:rsidR="00ED0411" w:rsidRPr="00640D01">
        <w:rPr>
          <w:b/>
          <w:bCs/>
          <w:color w:val="7030A0"/>
        </w:rPr>
        <w:t xml:space="preserve"> </w:t>
      </w:r>
      <w:r w:rsidR="00ED0411" w:rsidRPr="00176A31">
        <w:rPr>
          <w:color w:val="7030A0"/>
        </w:rPr>
        <w:t>(</w:t>
      </w:r>
      <w:r w:rsidR="00ED0411" w:rsidRPr="00640D01">
        <w:rPr>
          <w:color w:val="7030A0"/>
        </w:rPr>
        <w:t>e</w:t>
      </w:r>
      <w:r w:rsidR="00CE703E" w:rsidRPr="00640D01">
        <w:rPr>
          <w:color w:val="7030A0"/>
        </w:rPr>
        <w:t xml:space="preserve">.g., </w:t>
      </w:r>
      <w:r w:rsidR="00AA26DF" w:rsidRPr="00640D01">
        <w:rPr>
          <w:color w:val="7030A0"/>
        </w:rPr>
        <w:t xml:space="preserve">Even though the grace period to use MOVES3 for conformity analysis ends on </w:t>
      </w:r>
      <w:r w:rsidR="00811489" w:rsidRPr="00640D01">
        <w:rPr>
          <w:color w:val="7030A0"/>
        </w:rPr>
        <w:t>September 12, 2025</w:t>
      </w:r>
      <w:r w:rsidR="00AA26DF" w:rsidRPr="00640D01">
        <w:rPr>
          <w:color w:val="7030A0"/>
        </w:rPr>
        <w:t>, the MOVES</w:t>
      </w:r>
      <w:r w:rsidR="00811489" w:rsidRPr="00640D01">
        <w:rPr>
          <w:color w:val="7030A0"/>
        </w:rPr>
        <w:t>4</w:t>
      </w:r>
      <w:r w:rsidR="00AA26DF" w:rsidRPr="00640D01">
        <w:rPr>
          <w:color w:val="7030A0"/>
        </w:rPr>
        <w:t xml:space="preserve"> model will be used for this conformity analysis</w:t>
      </w:r>
      <w:r w:rsidR="007F72BC" w:rsidRPr="00640D01">
        <w:rPr>
          <w:color w:val="7030A0"/>
        </w:rPr>
        <w:t>.</w:t>
      </w:r>
      <w:r w:rsidR="007F72BC" w:rsidRPr="00640D01">
        <w:rPr>
          <w:rStyle w:val="FootnoteReference"/>
          <w:color w:val="7030A0"/>
        </w:rPr>
        <w:footnoteReference w:id="9"/>
      </w:r>
      <w:r w:rsidR="00CE703E" w:rsidRPr="00640D01">
        <w:rPr>
          <w:color w:val="7030A0"/>
        </w:rPr>
        <w:t>]</w:t>
      </w:r>
    </w:p>
    <w:p w14:paraId="07874982" w14:textId="5D0B327A" w:rsidR="00D364F5" w:rsidRPr="00640D01" w:rsidRDefault="008F49BE" w:rsidP="00B95FFB">
      <w:pPr>
        <w:pStyle w:val="BodyText"/>
      </w:pPr>
      <w:r w:rsidRPr="00640D01">
        <w:t xml:space="preserve">As outlined in the </w:t>
      </w:r>
      <w:r w:rsidR="00ED0411" w:rsidRPr="00640D01">
        <w:t>pre</w:t>
      </w:r>
      <w:r w:rsidRPr="00640D01">
        <w:t>-</w:t>
      </w:r>
      <w:r w:rsidR="00ED0411" w:rsidRPr="00640D01">
        <w:t xml:space="preserve">analysis consensus plan </w:t>
      </w:r>
      <w:r w:rsidR="00C00516" w:rsidRPr="00640D01">
        <w:t>(PACP)</w:t>
      </w:r>
      <w:r w:rsidRPr="00640D01">
        <w:t>, included in</w:t>
      </w:r>
      <w:r w:rsidR="009423C7" w:rsidRPr="00640D01">
        <w:t xml:space="preserve"> </w:t>
      </w:r>
      <w:r w:rsidR="009423C7" w:rsidRPr="00176A31">
        <w:t xml:space="preserve">Appendix </w:t>
      </w:r>
      <w:r w:rsidR="009B66B3" w:rsidRPr="00640D01">
        <w:t xml:space="preserve">Section </w:t>
      </w:r>
      <w:r w:rsidR="009423C7" w:rsidRPr="00176A31">
        <w:fldChar w:fldCharType="begin"/>
      </w:r>
      <w:r w:rsidR="009423C7" w:rsidRPr="00176A31">
        <w:instrText xml:space="preserve"> REF _Ref159507804 \h  \* MERGEFORMAT </w:instrText>
      </w:r>
      <w:r w:rsidR="009423C7" w:rsidRPr="00176A31">
        <w:fldChar w:fldCharType="separate"/>
      </w:r>
      <w:r w:rsidR="00514311" w:rsidRPr="00640D01">
        <w:t>F.1 Approved Pre-analysis Consensus Plan</w:t>
      </w:r>
      <w:r w:rsidR="00514311" w:rsidRPr="00640D01" w:rsidDel="00DF6D1F">
        <w:t xml:space="preserve"> </w:t>
      </w:r>
      <w:r w:rsidR="009423C7" w:rsidRPr="00176A31">
        <w:fldChar w:fldCharType="end"/>
      </w:r>
      <w:r w:rsidRPr="00640D01">
        <w:t>, the Interagency Consultation Partners approved the use of MOVES</w:t>
      </w:r>
      <w:r w:rsidR="00C00516" w:rsidRPr="00640D01">
        <w:t>4</w:t>
      </w:r>
      <w:r w:rsidRPr="00640D01">
        <w:t xml:space="preserve"> to develop</w:t>
      </w:r>
      <w:r w:rsidRPr="00640D01">
        <w:rPr>
          <w:color w:val="C00000"/>
        </w:rPr>
        <w:t xml:space="preserve"> </w:t>
      </w:r>
      <w:r w:rsidR="00D364F5" w:rsidRPr="00640D01">
        <w:rPr>
          <w:color w:val="7030A0"/>
        </w:rPr>
        <w:t>[</w:t>
      </w:r>
      <w:r w:rsidR="00D364F5" w:rsidRPr="00640D01">
        <w:rPr>
          <w:b/>
          <w:bCs/>
          <w:color w:val="7030A0"/>
        </w:rPr>
        <w:t>analysis years</w:t>
      </w:r>
      <w:r w:rsidR="00D364F5" w:rsidRPr="00640D01">
        <w:rPr>
          <w:color w:val="7030A0"/>
        </w:rPr>
        <w:t>]</w:t>
      </w:r>
      <w:r w:rsidRPr="00640D01">
        <w:rPr>
          <w:color w:val="7030A0"/>
        </w:rPr>
        <w:t xml:space="preserve"> </w:t>
      </w:r>
      <w:r w:rsidRPr="00640D01">
        <w:t>vehicle emission factors. Emission factors are one component to determine</w:t>
      </w:r>
      <w:r w:rsidRPr="00640D01">
        <w:rPr>
          <w:color w:val="7030A0"/>
        </w:rPr>
        <w:t xml:space="preserve"> </w:t>
      </w:r>
      <w:r w:rsidR="00D231FC" w:rsidRPr="00176A31">
        <w:rPr>
          <w:color w:val="7030A0"/>
        </w:rPr>
        <w:t>[</w:t>
      </w:r>
      <w:r w:rsidR="00ED0411" w:rsidRPr="00640D01">
        <w:rPr>
          <w:b/>
          <w:bCs/>
          <w:color w:val="7030A0"/>
        </w:rPr>
        <w:t>pollutant</w:t>
      </w:r>
      <w:r w:rsidR="00D231FC" w:rsidRPr="00640D01">
        <w:rPr>
          <w:b/>
          <w:bCs/>
          <w:color w:val="7030A0"/>
        </w:rPr>
        <w:t>(s)</w:t>
      </w:r>
      <w:r w:rsidR="00ED0411" w:rsidRPr="00640D01">
        <w:rPr>
          <w:b/>
          <w:bCs/>
          <w:color w:val="7030A0"/>
        </w:rPr>
        <w:t xml:space="preserve"> </w:t>
      </w:r>
      <w:r w:rsidR="00ED0411" w:rsidRPr="00176A31">
        <w:rPr>
          <w:color w:val="7030A0"/>
        </w:rPr>
        <w:t>(</w:t>
      </w:r>
      <w:r w:rsidR="00ED0411" w:rsidRPr="00640D01">
        <w:rPr>
          <w:color w:val="7030A0"/>
        </w:rPr>
        <w:t>e</w:t>
      </w:r>
      <w:r w:rsidR="00D231FC" w:rsidRPr="00640D01">
        <w:rPr>
          <w:color w:val="7030A0"/>
        </w:rPr>
        <w:t>.g., VOC, NOx, etc.</w:t>
      </w:r>
      <w:r w:rsidR="00ED0411" w:rsidRPr="00640D01">
        <w:rPr>
          <w:color w:val="7030A0"/>
        </w:rPr>
        <w:t>)</w:t>
      </w:r>
      <w:r w:rsidR="00D231FC" w:rsidRPr="00176A31">
        <w:rPr>
          <w:color w:val="7030A0"/>
        </w:rPr>
        <w:t>]</w:t>
      </w:r>
      <w:r w:rsidR="00D231FC" w:rsidRPr="00640D01">
        <w:rPr>
          <w:b/>
          <w:bCs/>
          <w:color w:val="7030A0"/>
        </w:rPr>
        <w:t xml:space="preserve"> </w:t>
      </w:r>
      <w:r w:rsidRPr="00640D01">
        <w:t xml:space="preserve">emissions from the region’s on-road vehicles. </w:t>
      </w:r>
    </w:p>
    <w:p w14:paraId="47E44C96" w14:textId="32F64294" w:rsidR="008F49BE" w:rsidRPr="00640D01" w:rsidRDefault="00ED0411" w:rsidP="00B95FFB">
      <w:pPr>
        <w:pStyle w:val="BodyText"/>
        <w:rPr>
          <w:b/>
        </w:rPr>
      </w:pPr>
      <w:r w:rsidRPr="00640D01">
        <w:rPr>
          <w:b/>
        </w:rPr>
        <w:fldChar w:fldCharType="begin"/>
      </w:r>
      <w:r w:rsidRPr="00640D01">
        <w:instrText xml:space="preserve"> REF _Ref182303130 \h  \* MERGEFORMAT </w:instrText>
      </w:r>
      <w:r w:rsidRPr="00640D01">
        <w:rPr>
          <w:b/>
        </w:rPr>
      </w:r>
      <w:r w:rsidRPr="00640D01">
        <w:rPr>
          <w:b/>
        </w:rPr>
        <w:fldChar w:fldCharType="separate"/>
      </w:r>
      <w:r w:rsidR="00514311" w:rsidRPr="00640D01">
        <w:t xml:space="preserve">Table </w:t>
      </w:r>
      <w:r w:rsidR="00514311">
        <w:t>5</w:t>
      </w:r>
      <w:r w:rsidR="00514311">
        <w:noBreakHyphen/>
        <w:t>1</w:t>
      </w:r>
      <w:r w:rsidRPr="00640D01">
        <w:rPr>
          <w:b/>
        </w:rPr>
        <w:fldChar w:fldCharType="end"/>
      </w:r>
      <w:r w:rsidRPr="00640D01">
        <w:t xml:space="preserve"> through </w:t>
      </w:r>
      <w:r w:rsidRPr="00176A31">
        <w:rPr>
          <w:bCs/>
        </w:rPr>
        <w:fldChar w:fldCharType="begin"/>
      </w:r>
      <w:r w:rsidRPr="00640D01">
        <w:rPr>
          <w:bCs/>
        </w:rPr>
        <w:instrText xml:space="preserve"> REF _Ref182303132 \h  \* MERGEFORMAT </w:instrText>
      </w:r>
      <w:r w:rsidRPr="00176A31">
        <w:rPr>
          <w:bCs/>
        </w:rPr>
      </w:r>
      <w:r w:rsidRPr="00176A31">
        <w:rPr>
          <w:bCs/>
        </w:rPr>
        <w:fldChar w:fldCharType="separate"/>
      </w:r>
      <w:r w:rsidR="00514311" w:rsidRPr="00514311">
        <w:rPr>
          <w:bCs/>
        </w:rPr>
        <w:t>Table</w:t>
      </w:r>
      <w:r w:rsidR="00514311" w:rsidRPr="00640D01">
        <w:t xml:space="preserve"> </w:t>
      </w:r>
      <w:r w:rsidR="00514311">
        <w:rPr>
          <w:noProof/>
        </w:rPr>
        <w:t>5</w:t>
      </w:r>
      <w:r w:rsidR="00514311">
        <w:rPr>
          <w:noProof/>
        </w:rPr>
        <w:noBreakHyphen/>
        <w:t>8</w:t>
      </w:r>
      <w:r w:rsidRPr="00176A31">
        <w:rPr>
          <w:bCs/>
        </w:rPr>
        <w:fldChar w:fldCharType="end"/>
      </w:r>
      <w:r w:rsidRPr="00176A31">
        <w:rPr>
          <w:bCs/>
        </w:rPr>
        <w:t xml:space="preserve"> list</w:t>
      </w:r>
      <w:r w:rsidRPr="00640D01">
        <w:rPr>
          <w:b/>
        </w:rPr>
        <w:t xml:space="preserve"> </w:t>
      </w:r>
      <w:r w:rsidR="008F49BE" w:rsidRPr="00640D01">
        <w:t>MOVES</w:t>
      </w:r>
      <w:r w:rsidR="00D364F5" w:rsidRPr="00640D01">
        <w:t>4</w:t>
      </w:r>
      <w:r w:rsidR="008F49BE" w:rsidRPr="00640D01">
        <w:t xml:space="preserve"> input parameters with the appropriate data source and/or methodology applied. </w:t>
      </w:r>
      <w:r w:rsidR="00684C90" w:rsidRPr="00640D01">
        <w:t>The i</w:t>
      </w:r>
      <w:r w:rsidR="008F49BE" w:rsidRPr="00640D01">
        <w:t xml:space="preserve">nformation listed applies to all counties and analysis years unless otherwise specified. </w:t>
      </w:r>
    </w:p>
    <w:p w14:paraId="269C4890" w14:textId="77777777" w:rsidR="00321877" w:rsidRPr="00640D01" w:rsidRDefault="00321877" w:rsidP="005D2E1F">
      <w:pPr>
        <w:pStyle w:val="Caption"/>
        <w:sectPr w:rsidR="00321877" w:rsidRPr="00640D01" w:rsidSect="007C4D26">
          <w:headerReference w:type="even" r:id="rId36"/>
          <w:headerReference w:type="default" r:id="rId37"/>
          <w:footerReference w:type="default" r:id="rId38"/>
          <w:headerReference w:type="first" r:id="rId39"/>
          <w:type w:val="continuous"/>
          <w:pgSz w:w="12240" w:h="15840"/>
          <w:pgMar w:top="1440" w:right="1440" w:bottom="1440" w:left="1440" w:header="720" w:footer="720" w:gutter="0"/>
          <w:pgNumType w:start="1"/>
          <w:cols w:space="720"/>
          <w:docGrid w:linePitch="360"/>
        </w:sectPr>
      </w:pPr>
      <w:bookmarkStart w:id="96" w:name="_Ref152856233"/>
      <w:bookmarkStart w:id="97" w:name="_Toc141792900"/>
    </w:p>
    <w:p w14:paraId="45CD9BF9" w14:textId="519FA633" w:rsidR="00EE205A" w:rsidRPr="00640D01" w:rsidRDefault="00EE205A" w:rsidP="00B95FFB">
      <w:pPr>
        <w:pStyle w:val="TableCaption"/>
      </w:pPr>
      <w:bookmarkStart w:id="98" w:name="_Ref182303130"/>
      <w:bookmarkStart w:id="99" w:name="_Toc190183123"/>
      <w:r w:rsidRPr="00640D01">
        <w:lastRenderedPageBreak/>
        <w:t xml:space="preserve">Table </w:t>
      </w:r>
      <w:r w:rsidR="00514311">
        <w:fldChar w:fldCharType="begin"/>
      </w:r>
      <w:r w:rsidR="00514311">
        <w:instrText xml:space="preserve"> STYLEREF 1 \s </w:instrText>
      </w:r>
      <w:r w:rsidR="00514311">
        <w:fldChar w:fldCharType="separate"/>
      </w:r>
      <w:r w:rsidR="00514311">
        <w:rPr>
          <w:noProof/>
        </w:rPr>
        <w:t>5</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1</w:t>
      </w:r>
      <w:r w:rsidR="00514311">
        <w:fldChar w:fldCharType="end"/>
      </w:r>
      <w:bookmarkEnd w:id="96"/>
      <w:bookmarkEnd w:id="98"/>
      <w:r w:rsidRPr="00640D01">
        <w:t xml:space="preserve">. MOVES Input Parameters and </w:t>
      </w:r>
      <w:r w:rsidR="008753A7" w:rsidRPr="00640D01">
        <w:t>Data S</w:t>
      </w:r>
      <w:r w:rsidRPr="00640D01">
        <w:t>ource</w:t>
      </w:r>
      <w:bookmarkEnd w:id="97"/>
      <w:bookmarkEnd w:id="99"/>
    </w:p>
    <w:tbl>
      <w:tblPr>
        <w:tblStyle w:val="TableGrid"/>
        <w:tblW w:w="5000" w:type="pct"/>
        <w:tblBorders>
          <w:left w:val="single" w:sz="4" w:space="0" w:color="FFFFFF" w:themeColor="background1"/>
          <w:right w:val="single" w:sz="4" w:space="0" w:color="FFFFFF" w:themeColor="background1"/>
        </w:tblBorders>
        <w:tblCellMar>
          <w:top w:w="29" w:type="dxa"/>
          <w:bottom w:w="29" w:type="dxa"/>
        </w:tblCellMar>
        <w:tblLook w:val="04A0" w:firstRow="1" w:lastRow="0" w:firstColumn="1" w:lastColumn="0" w:noHBand="0" w:noVBand="1"/>
      </w:tblPr>
      <w:tblGrid>
        <w:gridCol w:w="1885"/>
        <w:gridCol w:w="2699"/>
        <w:gridCol w:w="2251"/>
        <w:gridCol w:w="6115"/>
      </w:tblGrid>
      <w:tr w:rsidR="006E397E" w:rsidRPr="00640D01" w14:paraId="07213AF7" w14:textId="77777777" w:rsidTr="00B95FFB">
        <w:trPr>
          <w:trHeight w:val="317"/>
          <w:tblHeader/>
        </w:trPr>
        <w:tc>
          <w:tcPr>
            <w:tcW w:w="728" w:type="pct"/>
            <w:tcBorders>
              <w:right w:val="single" w:sz="4" w:space="0" w:color="FFFFFF" w:themeColor="background1"/>
            </w:tcBorders>
            <w:shd w:val="clear" w:color="auto" w:fill="002060"/>
            <w:vAlign w:val="center"/>
          </w:tcPr>
          <w:p w14:paraId="7BE573AC" w14:textId="77777777" w:rsidR="00EE205A" w:rsidRPr="00640D01" w:rsidRDefault="00EE205A" w:rsidP="00B95FFB">
            <w:pPr>
              <w:pStyle w:val="TableHeader"/>
            </w:pPr>
            <w:r w:rsidRPr="00640D01">
              <w:t>Input Parameter</w:t>
            </w:r>
          </w:p>
        </w:tc>
        <w:tc>
          <w:tcPr>
            <w:tcW w:w="1042" w:type="pct"/>
            <w:tcBorders>
              <w:left w:val="single" w:sz="4" w:space="0" w:color="FFFFFF" w:themeColor="background1"/>
              <w:right w:val="single" w:sz="4" w:space="0" w:color="FFFFFF" w:themeColor="background1"/>
            </w:tcBorders>
            <w:shd w:val="clear" w:color="auto" w:fill="002060"/>
            <w:vAlign w:val="center"/>
          </w:tcPr>
          <w:p w14:paraId="2C9393FB" w14:textId="77777777" w:rsidR="00EE205A" w:rsidRPr="00640D01" w:rsidRDefault="00EE205A" w:rsidP="00B95FFB">
            <w:pPr>
              <w:pStyle w:val="TableHeader"/>
            </w:pPr>
            <w:r w:rsidRPr="00640D01">
              <w:t>Description</w:t>
            </w:r>
          </w:p>
        </w:tc>
        <w:tc>
          <w:tcPr>
            <w:tcW w:w="869" w:type="pct"/>
            <w:tcBorders>
              <w:left w:val="single" w:sz="4" w:space="0" w:color="FFFFFF" w:themeColor="background1"/>
              <w:right w:val="single" w:sz="4" w:space="0" w:color="FFFFFF" w:themeColor="background1"/>
            </w:tcBorders>
            <w:shd w:val="clear" w:color="auto" w:fill="002060"/>
            <w:vAlign w:val="center"/>
          </w:tcPr>
          <w:p w14:paraId="34A0DFD2" w14:textId="77777777" w:rsidR="00EE205A" w:rsidRPr="00640D01" w:rsidRDefault="00EE205A" w:rsidP="00B95FFB">
            <w:pPr>
              <w:pStyle w:val="TableHeader"/>
            </w:pPr>
            <w:r w:rsidRPr="00640D01">
              <w:t>Base Data Source</w:t>
            </w:r>
          </w:p>
        </w:tc>
        <w:tc>
          <w:tcPr>
            <w:tcW w:w="2361" w:type="pct"/>
            <w:tcBorders>
              <w:left w:val="single" w:sz="4" w:space="0" w:color="FFFFFF" w:themeColor="background1"/>
            </w:tcBorders>
            <w:shd w:val="clear" w:color="auto" w:fill="002060"/>
            <w:vAlign w:val="center"/>
          </w:tcPr>
          <w:p w14:paraId="1AB75AC0" w14:textId="77777777" w:rsidR="00EE205A" w:rsidRPr="00640D01" w:rsidRDefault="00EE205A" w:rsidP="00B95FFB">
            <w:pPr>
              <w:pStyle w:val="TableHeader"/>
            </w:pPr>
            <w:r w:rsidRPr="00640D01">
              <w:t>Notes</w:t>
            </w:r>
          </w:p>
        </w:tc>
      </w:tr>
      <w:tr w:rsidR="00CB4FB1" w:rsidRPr="00640D01" w14:paraId="7559E137" w14:textId="77777777" w:rsidTr="00B95FFB">
        <w:trPr>
          <w:trHeight w:val="317"/>
        </w:trPr>
        <w:tc>
          <w:tcPr>
            <w:tcW w:w="728" w:type="pct"/>
            <w:vAlign w:val="center"/>
          </w:tcPr>
          <w:p w14:paraId="20DFC696" w14:textId="1663DBBE" w:rsidR="00EE205A" w:rsidRPr="00640D01" w:rsidRDefault="00EE205A" w:rsidP="00B95FFB">
            <w:pPr>
              <w:pStyle w:val="TableText"/>
            </w:pPr>
            <w:r w:rsidRPr="00640D01">
              <w:t xml:space="preserve">Vehicle </w:t>
            </w:r>
            <w:r w:rsidR="00ED0411" w:rsidRPr="00640D01">
              <w:t>population by source type</w:t>
            </w:r>
          </w:p>
        </w:tc>
        <w:tc>
          <w:tcPr>
            <w:tcW w:w="1042" w:type="pct"/>
            <w:vAlign w:val="center"/>
          </w:tcPr>
          <w:p w14:paraId="43D22C74" w14:textId="68EC0A5D" w:rsidR="00EE205A" w:rsidRPr="00640D01" w:rsidRDefault="00EE205A" w:rsidP="00B95FFB">
            <w:pPr>
              <w:pStyle w:val="TableText"/>
            </w:pPr>
            <w:r w:rsidRPr="00640D01">
              <w:t xml:space="preserve">Input the number of vehicles in the geographic area to be modeled for each </w:t>
            </w:r>
            <w:r w:rsidR="0030701E" w:rsidRPr="00640D01">
              <w:t>source type</w:t>
            </w:r>
            <w:r w:rsidRPr="00640D01">
              <w:t>.</w:t>
            </w:r>
          </w:p>
        </w:tc>
        <w:tc>
          <w:tcPr>
            <w:tcW w:w="869" w:type="pct"/>
            <w:vAlign w:val="center"/>
          </w:tcPr>
          <w:p w14:paraId="71002E50" w14:textId="71BD722D" w:rsidR="00EE205A" w:rsidRPr="00640D01" w:rsidRDefault="000C42A2" w:rsidP="00B95FFB">
            <w:pPr>
              <w:pStyle w:val="TableText"/>
            </w:pPr>
            <w:r w:rsidRPr="00640D01">
              <w:rPr>
                <w:color w:val="7030A0"/>
              </w:rPr>
              <w:t>[</w:t>
            </w:r>
            <w:r w:rsidR="00321877" w:rsidRPr="00176A31">
              <w:rPr>
                <w:b/>
                <w:bCs/>
                <w:color w:val="7030A0"/>
              </w:rPr>
              <w:t>Example:</w:t>
            </w:r>
            <w:r w:rsidRPr="00640D01">
              <w:rPr>
                <w:color w:val="7030A0"/>
              </w:rPr>
              <w:t xml:space="preserve"> </w:t>
            </w:r>
            <w:r w:rsidR="00EE205A" w:rsidRPr="00640D01">
              <w:rPr>
                <w:color w:val="7030A0"/>
              </w:rPr>
              <w:t>TxDMV data (year</w:t>
            </w:r>
            <w:r w:rsidR="00AA1CD5" w:rsidRPr="00640D01">
              <w:rPr>
                <w:color w:val="7030A0"/>
              </w:rPr>
              <w:t xml:space="preserve"> </w:t>
            </w:r>
            <w:r w:rsidR="00EE205A" w:rsidRPr="00640D01">
              <w:rPr>
                <w:color w:val="7030A0"/>
              </w:rPr>
              <w:t xml:space="preserve">end </w:t>
            </w:r>
            <w:r w:rsidR="00513B06" w:rsidRPr="00640D01">
              <w:rPr>
                <w:color w:val="7030A0"/>
              </w:rPr>
              <w:t>2021</w:t>
            </w:r>
            <w:r w:rsidR="00EE205A" w:rsidRPr="00640D01">
              <w:rPr>
                <w:color w:val="7030A0"/>
              </w:rPr>
              <w:t>)</w:t>
            </w:r>
            <w:r w:rsidRPr="00640D01">
              <w:rPr>
                <w:color w:val="7030A0"/>
              </w:rPr>
              <w:t>]</w:t>
            </w:r>
            <w:r w:rsidR="00EE205A" w:rsidRPr="00640D01">
              <w:rPr>
                <w:color w:val="7030A0"/>
              </w:rPr>
              <w:t xml:space="preserve"> </w:t>
            </w:r>
            <w:r w:rsidR="00EE205A" w:rsidRPr="00640D01">
              <w:t>MOVES defaults for rate runs</w:t>
            </w:r>
          </w:p>
        </w:tc>
        <w:tc>
          <w:tcPr>
            <w:tcW w:w="2361" w:type="pct"/>
            <w:vAlign w:val="center"/>
          </w:tcPr>
          <w:p w14:paraId="2EFD9A8A" w14:textId="483A96AA" w:rsidR="00EE205A" w:rsidRPr="00640D01" w:rsidRDefault="00EE205A" w:rsidP="00B95FFB">
            <w:pPr>
              <w:pStyle w:val="TableBullet"/>
            </w:pPr>
            <w:r w:rsidRPr="00640D01">
              <w:t>Local gasoline</w:t>
            </w:r>
            <w:r w:rsidR="00ED0411" w:rsidRPr="00640D01">
              <w:t>-</w:t>
            </w:r>
            <w:r w:rsidRPr="00640D01">
              <w:t xml:space="preserve"> and diesel-powered </w:t>
            </w:r>
            <w:r w:rsidR="00AA1CD5" w:rsidRPr="00640D01">
              <w:t>source-</w:t>
            </w:r>
            <w:r w:rsidRPr="00640D01">
              <w:t xml:space="preserve">type populations by analysis year </w:t>
            </w:r>
            <w:r w:rsidR="00BC3D6B" w:rsidRPr="00640D01">
              <w:t xml:space="preserve">were </w:t>
            </w:r>
            <w:r w:rsidRPr="00640D01">
              <w:t>estimated for use external to MOVES in the estimation of county</w:t>
            </w:r>
            <w:r w:rsidR="00684C90" w:rsidRPr="00640D01">
              <w:t>-</w:t>
            </w:r>
            <w:r w:rsidRPr="00640D01">
              <w:t>level vehicle starts and source</w:t>
            </w:r>
            <w:r w:rsidR="00AA1CD5" w:rsidRPr="00640D01">
              <w:t xml:space="preserve"> </w:t>
            </w:r>
            <w:r w:rsidRPr="00640D01">
              <w:t>hours</w:t>
            </w:r>
            <w:r w:rsidR="00ED0411" w:rsidRPr="00640D01">
              <w:t xml:space="preserve"> </w:t>
            </w:r>
            <w:r w:rsidRPr="00640D01">
              <w:t>parked, needed in the external emissions calculations, per TTI’s rates-per-activity, TDM-based method.</w:t>
            </w:r>
          </w:p>
          <w:p w14:paraId="521E7420" w14:textId="0AB2DDE3" w:rsidR="00EE205A" w:rsidRPr="00640D01" w:rsidRDefault="00EE205A" w:rsidP="00B95FFB">
            <w:pPr>
              <w:pStyle w:val="TableBullet"/>
              <w:rPr>
                <w:color w:val="4C0203"/>
              </w:rPr>
            </w:pPr>
            <w:r w:rsidRPr="00640D01">
              <w:t>Populations by SUT and fuel type are a function of TxDMV year-end vehicle registration data and VMT mix and</w:t>
            </w:r>
            <w:r w:rsidR="00ED0411" w:rsidRPr="00640D01">
              <w:t>,</w:t>
            </w:r>
            <w:r w:rsidRPr="00640D01">
              <w:t xml:space="preserve"> in the case of base and future years, population scaling factors.</w:t>
            </w:r>
          </w:p>
        </w:tc>
      </w:tr>
      <w:tr w:rsidR="00CB4FB1" w:rsidRPr="00640D01" w14:paraId="29A7DAFF" w14:textId="77777777" w:rsidTr="00B95FFB">
        <w:trPr>
          <w:trHeight w:val="317"/>
        </w:trPr>
        <w:tc>
          <w:tcPr>
            <w:tcW w:w="728" w:type="pct"/>
            <w:vAlign w:val="center"/>
          </w:tcPr>
          <w:p w14:paraId="1421E2E9" w14:textId="6430F005" w:rsidR="00EE205A" w:rsidRPr="00640D01" w:rsidRDefault="00EE205A" w:rsidP="00B95FFB">
            <w:pPr>
              <w:pStyle w:val="TableText"/>
            </w:pPr>
            <w:r w:rsidRPr="00640D01">
              <w:t xml:space="preserve">Fleet </w:t>
            </w:r>
            <w:r w:rsidR="00ED0411" w:rsidRPr="00640D01">
              <w:t>age distribution by source type</w:t>
            </w:r>
          </w:p>
        </w:tc>
        <w:tc>
          <w:tcPr>
            <w:tcW w:w="1042" w:type="pct"/>
            <w:vAlign w:val="center"/>
          </w:tcPr>
          <w:p w14:paraId="730AB5B8" w14:textId="443BE912" w:rsidR="00EE205A" w:rsidRPr="00640D01" w:rsidRDefault="00EE205A" w:rsidP="00B95FFB">
            <w:pPr>
              <w:pStyle w:val="TableText"/>
            </w:pPr>
            <w:r w:rsidRPr="00640D01">
              <w:t xml:space="preserve">Input </w:t>
            </w:r>
            <w:r w:rsidR="00ED0411" w:rsidRPr="00640D01">
              <w:t xml:space="preserve">data </w:t>
            </w:r>
            <w:r w:rsidRPr="00640D01">
              <w:t>that provide the distribution of vehicle counts by age for each calendar year and vehicle type. TxDMV registration data</w:t>
            </w:r>
            <w:r w:rsidR="008642AA" w:rsidRPr="00640D01">
              <w:t xml:space="preserve"> were</w:t>
            </w:r>
            <w:r w:rsidRPr="00640D01">
              <w:t xml:space="preserve"> used to estimate the age distribution of vehicle types up to </w:t>
            </w:r>
            <w:r w:rsidR="00CE703E" w:rsidRPr="00640D01">
              <w:rPr>
                <w:color w:val="7030A0"/>
              </w:rPr>
              <w:t>[</w:t>
            </w:r>
            <w:r w:rsidR="00CE703E" w:rsidRPr="00176A31">
              <w:rPr>
                <w:b/>
                <w:bCs/>
                <w:color w:val="7030A0"/>
              </w:rPr>
              <w:t>age distribution years</w:t>
            </w:r>
            <w:r w:rsidR="00ED0411" w:rsidRPr="00640D01">
              <w:rPr>
                <w:color w:val="7030A0"/>
              </w:rPr>
              <w:t xml:space="preserve"> (e</w:t>
            </w:r>
            <w:r w:rsidR="00CE703E" w:rsidRPr="00640D01">
              <w:rPr>
                <w:color w:val="7030A0"/>
              </w:rPr>
              <w:t>.g.,</w:t>
            </w:r>
            <w:r w:rsidR="00ED0411" w:rsidRPr="00640D01">
              <w:rPr>
                <w:color w:val="7030A0"/>
              </w:rPr>
              <w:t xml:space="preserve"> </w:t>
            </w:r>
            <w:r w:rsidRPr="00640D01">
              <w:rPr>
                <w:color w:val="7030A0"/>
              </w:rPr>
              <w:t>31</w:t>
            </w:r>
            <w:r w:rsidR="00ED0411" w:rsidRPr="00640D01">
              <w:rPr>
                <w:color w:val="7030A0"/>
              </w:rPr>
              <w:t>)</w:t>
            </w:r>
            <w:r w:rsidR="00CE703E" w:rsidRPr="00640D01">
              <w:rPr>
                <w:color w:val="7030A0"/>
              </w:rPr>
              <w:t>]</w:t>
            </w:r>
            <w:r w:rsidRPr="00640D01">
              <w:t xml:space="preserve"> years.</w:t>
            </w:r>
          </w:p>
        </w:tc>
        <w:tc>
          <w:tcPr>
            <w:tcW w:w="869" w:type="pct"/>
            <w:vAlign w:val="center"/>
          </w:tcPr>
          <w:p w14:paraId="7CEA5312" w14:textId="4755384E" w:rsidR="00EE205A" w:rsidRPr="00640D01" w:rsidRDefault="0082010A" w:rsidP="00B95FFB">
            <w:pPr>
              <w:pStyle w:val="TableText"/>
            </w:pPr>
            <w:r w:rsidRPr="00640D01">
              <w:rPr>
                <w:color w:val="7030A0"/>
              </w:rPr>
              <w:t>[</w:t>
            </w:r>
            <w:r w:rsidR="00321877" w:rsidRPr="00176A31">
              <w:rPr>
                <w:b/>
                <w:bCs/>
                <w:color w:val="7030A0"/>
              </w:rPr>
              <w:t>Example:</w:t>
            </w:r>
            <w:r w:rsidR="00321877" w:rsidRPr="00640D01">
              <w:rPr>
                <w:color w:val="7030A0"/>
              </w:rPr>
              <w:t xml:space="preserve"> </w:t>
            </w:r>
            <w:r w:rsidR="00EE205A" w:rsidRPr="00640D01">
              <w:rPr>
                <w:color w:val="7030A0"/>
              </w:rPr>
              <w:t>TxDMV data (year</w:t>
            </w:r>
            <w:r w:rsidR="00AA1CD5" w:rsidRPr="00640D01">
              <w:rPr>
                <w:color w:val="7030A0"/>
              </w:rPr>
              <w:t xml:space="preserve"> </w:t>
            </w:r>
            <w:r w:rsidR="00EE205A" w:rsidRPr="00640D01">
              <w:rPr>
                <w:color w:val="7030A0"/>
              </w:rPr>
              <w:t xml:space="preserve">end </w:t>
            </w:r>
            <w:r w:rsidR="00513B06" w:rsidRPr="00640D01">
              <w:rPr>
                <w:color w:val="7030A0"/>
              </w:rPr>
              <w:t>2021</w:t>
            </w:r>
            <w:r w:rsidR="00EE205A" w:rsidRPr="00640D01">
              <w:rPr>
                <w:color w:val="7030A0"/>
              </w:rPr>
              <w:t>)</w:t>
            </w:r>
            <w:r w:rsidRPr="00640D01">
              <w:rPr>
                <w:color w:val="7030A0"/>
              </w:rPr>
              <w:t>]</w:t>
            </w:r>
            <w:r w:rsidR="00EE205A" w:rsidRPr="00640D01">
              <w:rPr>
                <w:color w:val="7030A0"/>
              </w:rPr>
              <w:t xml:space="preserve"> </w:t>
            </w:r>
            <w:r w:rsidR="00EE205A" w:rsidRPr="00640D01">
              <w:t>MOVES defaults for refuse trucks, motor homes, and buses</w:t>
            </w:r>
          </w:p>
        </w:tc>
        <w:tc>
          <w:tcPr>
            <w:tcW w:w="2361" w:type="pct"/>
            <w:vAlign w:val="center"/>
          </w:tcPr>
          <w:p w14:paraId="4481C3DD" w14:textId="6BC923F8" w:rsidR="00EE205A" w:rsidRPr="00640D01" w:rsidRDefault="00EE205A" w:rsidP="00B95FFB">
            <w:pPr>
              <w:pStyle w:val="TableBullet"/>
            </w:pPr>
            <w:r w:rsidRPr="00640D01">
              <w:t xml:space="preserve">Age distributions </w:t>
            </w:r>
            <w:r w:rsidR="008642AA" w:rsidRPr="00640D01">
              <w:t>were</w:t>
            </w:r>
            <w:r w:rsidRPr="00640D01">
              <w:t xml:space="preserve"> developed using TxDMV registration data aggregated at the county level for all source types except</w:t>
            </w:r>
            <w:r w:rsidR="003B16D1" w:rsidRPr="00640D01">
              <w:t xml:space="preserve"> for</w:t>
            </w:r>
            <w:r w:rsidR="00E7480C" w:rsidRPr="00640D01">
              <w:t xml:space="preserve"> </w:t>
            </w:r>
            <w:r w:rsidR="003B16D1" w:rsidRPr="00640D01">
              <w:t>short-haul source types</w:t>
            </w:r>
            <w:r w:rsidR="00E7480C" w:rsidRPr="00640D01">
              <w:t>,</w:t>
            </w:r>
            <w:r w:rsidR="003B16D1" w:rsidRPr="00640D01">
              <w:t xml:space="preserve"> which are region level</w:t>
            </w:r>
            <w:r w:rsidR="00E7480C" w:rsidRPr="00640D01">
              <w:t>;</w:t>
            </w:r>
            <w:r w:rsidR="003B16D1" w:rsidRPr="00640D01">
              <w:t xml:space="preserve"> </w:t>
            </w:r>
            <w:r w:rsidRPr="00640D01">
              <w:t>long-haul source types</w:t>
            </w:r>
            <w:r w:rsidR="00E7480C" w:rsidRPr="00640D01">
              <w:t>,</w:t>
            </w:r>
            <w:r w:rsidRPr="00640D01">
              <w:t xml:space="preserve"> which </w:t>
            </w:r>
            <w:r w:rsidR="003B16D1" w:rsidRPr="00640D01">
              <w:t>are</w:t>
            </w:r>
            <w:r w:rsidRPr="00640D01">
              <w:t xml:space="preserve"> statewide level</w:t>
            </w:r>
            <w:r w:rsidR="00E7480C" w:rsidRPr="00640D01">
              <w:t>; and buses, refuse trucks, and motor homes, which are MOVES defaults.</w:t>
            </w:r>
          </w:p>
          <w:p w14:paraId="73DE147A" w14:textId="2FE4B99C" w:rsidR="007A39DD" w:rsidRPr="00640D01" w:rsidRDefault="007A39DD" w:rsidP="00B95FFB">
            <w:pPr>
              <w:pStyle w:val="TableBullet"/>
            </w:pPr>
            <w:r w:rsidRPr="00640D01">
              <w:t xml:space="preserve">The Age Distribution dataset was derived from the </w:t>
            </w:r>
            <w:r w:rsidR="00C565C5" w:rsidRPr="00640D01">
              <w:t xml:space="preserve">latest TxDMV </w:t>
            </w:r>
            <w:r w:rsidRPr="00640D01">
              <w:t>Registration dataset and MOVES default values.</w:t>
            </w:r>
          </w:p>
          <w:p w14:paraId="10B4372C" w14:textId="541B017F" w:rsidR="005E736D" w:rsidRPr="00640D01" w:rsidRDefault="005E736D" w:rsidP="00B95FFB">
            <w:pPr>
              <w:pStyle w:val="TableBullet"/>
            </w:pPr>
            <w:r w:rsidRPr="00640D01">
              <w:t>The dataset contains five columns: RegionID, yearID, sourceTypeID, ageID</w:t>
            </w:r>
            <w:r w:rsidR="007D5981" w:rsidRPr="00640D01">
              <w:t xml:space="preserve"> (which ranges</w:t>
            </w:r>
            <w:r w:rsidR="00AA1CD5" w:rsidRPr="00640D01">
              <w:t xml:space="preserve"> from</w:t>
            </w:r>
            <w:r w:rsidR="007D5981" w:rsidRPr="00640D01">
              <w:t xml:space="preserve"> </w:t>
            </w:r>
            <w:r w:rsidR="00CE703E" w:rsidRPr="00640D01">
              <w:rPr>
                <w:color w:val="7030A0"/>
              </w:rPr>
              <w:t>[</w:t>
            </w:r>
            <w:r w:rsidR="00234189" w:rsidRPr="00640D01">
              <w:rPr>
                <w:b/>
                <w:bCs/>
                <w:color w:val="7030A0"/>
              </w:rPr>
              <w:t xml:space="preserve">age </w:t>
            </w:r>
            <w:r w:rsidR="00CE703E" w:rsidRPr="00640D01">
              <w:rPr>
                <w:b/>
                <w:bCs/>
                <w:color w:val="7030A0"/>
              </w:rPr>
              <w:t>ID range</w:t>
            </w:r>
            <w:r w:rsidR="00234189" w:rsidRPr="00640D01">
              <w:rPr>
                <w:b/>
                <w:bCs/>
                <w:color w:val="7030A0"/>
              </w:rPr>
              <w:t xml:space="preserve"> </w:t>
            </w:r>
            <w:r w:rsidR="00234189" w:rsidRPr="00176A31">
              <w:rPr>
                <w:color w:val="7030A0"/>
              </w:rPr>
              <w:t>(e</w:t>
            </w:r>
            <w:r w:rsidR="00CE703E" w:rsidRPr="00640D01">
              <w:rPr>
                <w:color w:val="7030A0"/>
              </w:rPr>
              <w:t>.g</w:t>
            </w:r>
            <w:r w:rsidR="00234189" w:rsidRPr="00640D01">
              <w:rPr>
                <w:color w:val="7030A0"/>
              </w:rPr>
              <w:t>.</w:t>
            </w:r>
            <w:r w:rsidR="00CE703E" w:rsidRPr="00640D01">
              <w:rPr>
                <w:color w:val="7030A0"/>
              </w:rPr>
              <w:t xml:space="preserve">, </w:t>
            </w:r>
            <w:r w:rsidR="007D5981" w:rsidRPr="00640D01">
              <w:rPr>
                <w:color w:val="7030A0"/>
              </w:rPr>
              <w:t>0 to 30</w:t>
            </w:r>
            <w:r w:rsidR="00CE703E" w:rsidRPr="00640D01">
              <w:rPr>
                <w:color w:val="7030A0"/>
              </w:rPr>
              <w:t>, 0 to 40</w:t>
            </w:r>
            <w:r w:rsidR="00234189" w:rsidRPr="00640D01">
              <w:rPr>
                <w:color w:val="7030A0"/>
              </w:rPr>
              <w:t>)</w:t>
            </w:r>
            <w:r w:rsidR="00CE703E" w:rsidRPr="00640D01">
              <w:rPr>
                <w:color w:val="7030A0"/>
              </w:rPr>
              <w:t>]</w:t>
            </w:r>
            <w:r w:rsidR="007D5981" w:rsidRPr="00640D01">
              <w:t>), and ageFractionID.</w:t>
            </w:r>
          </w:p>
          <w:p w14:paraId="5FFDE0D9" w14:textId="315EBF93" w:rsidR="00047FE2" w:rsidRPr="00640D01" w:rsidRDefault="00EE205A" w:rsidP="00B95FFB">
            <w:pPr>
              <w:pStyle w:val="TableBullet"/>
              <w:rPr>
                <w:color w:val="4C0203"/>
              </w:rPr>
            </w:pPr>
            <w:r w:rsidRPr="00640D01">
              <w:t xml:space="preserve">The distribution of </w:t>
            </w:r>
            <w:r w:rsidR="007F1E0B" w:rsidRPr="00640D01">
              <w:t xml:space="preserve">age </w:t>
            </w:r>
            <w:r w:rsidRPr="00640D01">
              <w:t xml:space="preserve">fractions </w:t>
            </w:r>
            <w:r w:rsidR="008F413B" w:rsidRPr="00640D01">
              <w:t>sums</w:t>
            </w:r>
            <w:r w:rsidRPr="00640D01">
              <w:t xml:space="preserve"> up to 1.0 for each source use type for each analysis year.</w:t>
            </w:r>
          </w:p>
        </w:tc>
      </w:tr>
      <w:tr w:rsidR="00CB4FB1" w:rsidRPr="00640D01" w14:paraId="499494E0" w14:textId="77777777" w:rsidTr="00B95FFB">
        <w:trPr>
          <w:trHeight w:val="317"/>
        </w:trPr>
        <w:tc>
          <w:tcPr>
            <w:tcW w:w="728" w:type="pct"/>
            <w:vAlign w:val="center"/>
          </w:tcPr>
          <w:p w14:paraId="27892D46" w14:textId="46819BFE" w:rsidR="00EE205A" w:rsidRPr="00640D01" w:rsidRDefault="00EE205A" w:rsidP="00B95FFB">
            <w:pPr>
              <w:pStyle w:val="TableText"/>
            </w:pPr>
            <w:r w:rsidRPr="00640D01">
              <w:t xml:space="preserve">Fleet VMT by HPMS </w:t>
            </w:r>
            <w:r w:rsidR="00ED0411" w:rsidRPr="00640D01">
              <w:t>vehicle type</w:t>
            </w:r>
          </w:p>
        </w:tc>
        <w:tc>
          <w:tcPr>
            <w:tcW w:w="1042" w:type="pct"/>
            <w:vAlign w:val="center"/>
          </w:tcPr>
          <w:p w14:paraId="549A9897" w14:textId="68EFD08F" w:rsidR="00EE205A" w:rsidRPr="00640D01" w:rsidRDefault="00AA1CD5" w:rsidP="00B95FFB">
            <w:pPr>
              <w:pStyle w:val="TableText"/>
            </w:pPr>
            <w:r w:rsidRPr="00640D01">
              <w:t xml:space="preserve">Distribute </w:t>
            </w:r>
            <w:r w:rsidR="00264A7E" w:rsidRPr="00640D01">
              <w:t>MOVES default</w:t>
            </w:r>
            <w:r w:rsidR="00EE205A" w:rsidRPr="00640D01">
              <w:t xml:space="preserve"> VMT to </w:t>
            </w:r>
            <w:r w:rsidR="00ED0411" w:rsidRPr="00640D01">
              <w:t xml:space="preserve">five </w:t>
            </w:r>
            <w:r w:rsidR="00EE205A" w:rsidRPr="00640D01">
              <w:t xml:space="preserve">HPMS </w:t>
            </w:r>
            <w:r w:rsidR="0030701E" w:rsidRPr="00640D01">
              <w:t xml:space="preserve">vehicle </w:t>
            </w:r>
            <w:r w:rsidR="00EE205A" w:rsidRPr="00640D01">
              <w:t>types</w:t>
            </w:r>
            <w:r w:rsidR="009333FB" w:rsidRPr="00640D01">
              <w:t>.</w:t>
            </w:r>
          </w:p>
        </w:tc>
        <w:tc>
          <w:tcPr>
            <w:tcW w:w="869" w:type="pct"/>
            <w:vAlign w:val="center"/>
          </w:tcPr>
          <w:p w14:paraId="49DCC19B" w14:textId="5320F2E9" w:rsidR="00EE205A" w:rsidRPr="00640D01" w:rsidRDefault="00EE205A" w:rsidP="00B95FFB">
            <w:pPr>
              <w:pStyle w:val="TableText"/>
            </w:pPr>
            <w:r w:rsidRPr="00640D01">
              <w:t>MOVES default</w:t>
            </w:r>
            <w:r w:rsidR="00AA1CD5" w:rsidRPr="00640D01">
              <w:t>s</w:t>
            </w:r>
            <w:r w:rsidRPr="00640D01">
              <w:t xml:space="preserve"> for rate runs</w:t>
            </w:r>
          </w:p>
        </w:tc>
        <w:tc>
          <w:tcPr>
            <w:tcW w:w="2361" w:type="pct"/>
            <w:vAlign w:val="center"/>
          </w:tcPr>
          <w:p w14:paraId="34FC2E9A" w14:textId="296F32F4" w:rsidR="00EE205A" w:rsidRPr="00640D01" w:rsidRDefault="00EE205A" w:rsidP="00B95FFB">
            <w:pPr>
              <w:pStyle w:val="TableBullet"/>
            </w:pPr>
            <w:r w:rsidRPr="00640D01">
              <w:t xml:space="preserve">Local activity estimates </w:t>
            </w:r>
            <w:r w:rsidR="00F55D3B" w:rsidRPr="00640D01">
              <w:t xml:space="preserve">were </w:t>
            </w:r>
            <w:r w:rsidRPr="00640D01">
              <w:t>applied in emissions calculations external to MOVES.</w:t>
            </w:r>
          </w:p>
        </w:tc>
      </w:tr>
      <w:tr w:rsidR="00CB4FB1" w:rsidRPr="00640D01" w14:paraId="36B5F823" w14:textId="77777777" w:rsidTr="00B95FFB">
        <w:trPr>
          <w:trHeight w:val="317"/>
        </w:trPr>
        <w:tc>
          <w:tcPr>
            <w:tcW w:w="728" w:type="pct"/>
            <w:vAlign w:val="center"/>
          </w:tcPr>
          <w:p w14:paraId="6420216D" w14:textId="242B25BE" w:rsidR="00EE205A" w:rsidRPr="00640D01" w:rsidRDefault="00EE205A" w:rsidP="00B95FFB">
            <w:pPr>
              <w:pStyle w:val="TableText"/>
            </w:pPr>
            <w:r w:rsidRPr="00640D01">
              <w:t xml:space="preserve">Road </w:t>
            </w:r>
            <w:r w:rsidR="00ED0411" w:rsidRPr="00640D01">
              <w:t xml:space="preserve">type </w:t>
            </w:r>
            <w:r w:rsidRPr="00640D01">
              <w:t>VMT distributions</w:t>
            </w:r>
          </w:p>
        </w:tc>
        <w:tc>
          <w:tcPr>
            <w:tcW w:w="1042" w:type="pct"/>
            <w:vAlign w:val="center"/>
          </w:tcPr>
          <w:p w14:paraId="3FAF3A73" w14:textId="5AA6A75D" w:rsidR="00EE205A" w:rsidRPr="00640D01" w:rsidRDefault="00EE205A" w:rsidP="00B95FFB">
            <w:pPr>
              <w:pStyle w:val="TableText"/>
              <w:rPr>
                <w:szCs w:val="22"/>
              </w:rPr>
            </w:pPr>
            <w:r w:rsidRPr="00640D01">
              <w:rPr>
                <w:szCs w:val="22"/>
              </w:rPr>
              <w:t xml:space="preserve">Input </w:t>
            </w:r>
            <w:r w:rsidR="00264A7E" w:rsidRPr="00640D01">
              <w:rPr>
                <w:szCs w:val="22"/>
              </w:rPr>
              <w:t>MOVES default</w:t>
            </w:r>
            <w:r w:rsidR="0030701E" w:rsidRPr="00640D01">
              <w:rPr>
                <w:szCs w:val="22"/>
              </w:rPr>
              <w:t xml:space="preserve"> </w:t>
            </w:r>
            <w:r w:rsidRPr="00640D01">
              <w:rPr>
                <w:szCs w:val="22"/>
              </w:rPr>
              <w:t>VMT by road type.</w:t>
            </w:r>
          </w:p>
        </w:tc>
        <w:tc>
          <w:tcPr>
            <w:tcW w:w="869" w:type="pct"/>
            <w:vAlign w:val="center"/>
          </w:tcPr>
          <w:p w14:paraId="40621E2D" w14:textId="3213C33D" w:rsidR="00EE205A" w:rsidRPr="00640D01" w:rsidRDefault="00EE205A" w:rsidP="00B95FFB">
            <w:pPr>
              <w:pStyle w:val="TableText"/>
            </w:pPr>
            <w:r w:rsidRPr="00640D01">
              <w:t>MOVES default</w:t>
            </w:r>
            <w:r w:rsidR="00AA1CD5" w:rsidRPr="00640D01">
              <w:t>s</w:t>
            </w:r>
            <w:r w:rsidRPr="00640D01">
              <w:t xml:space="preserve"> for rate runs</w:t>
            </w:r>
          </w:p>
        </w:tc>
        <w:tc>
          <w:tcPr>
            <w:tcW w:w="2361" w:type="pct"/>
            <w:vAlign w:val="center"/>
          </w:tcPr>
          <w:p w14:paraId="0F2C7A5E" w14:textId="6D7CA4F3" w:rsidR="00EE205A" w:rsidRPr="00640D01" w:rsidRDefault="00EE205A" w:rsidP="00B95FFB">
            <w:pPr>
              <w:pStyle w:val="TableBullet"/>
            </w:pPr>
            <w:r w:rsidRPr="00640D01">
              <w:t xml:space="preserve">Local activity estimates </w:t>
            </w:r>
            <w:r w:rsidR="00F55D3B" w:rsidRPr="00640D01">
              <w:t xml:space="preserve">were </w:t>
            </w:r>
            <w:r w:rsidRPr="00640D01">
              <w:t>applied in emissions calculations external to MOVES.</w:t>
            </w:r>
          </w:p>
          <w:p w14:paraId="385F2FB5" w14:textId="13E5A03F" w:rsidR="00EE205A" w:rsidRPr="00640D01" w:rsidRDefault="00234189" w:rsidP="00B95FFB">
            <w:pPr>
              <w:pStyle w:val="TableBullet"/>
            </w:pPr>
            <w:r w:rsidRPr="00640D01">
              <w:t xml:space="preserve">The </w:t>
            </w:r>
            <w:r w:rsidR="00EE205A" w:rsidRPr="00640D01">
              <w:t xml:space="preserve">VMT fraction </w:t>
            </w:r>
            <w:r w:rsidR="00F55D3B" w:rsidRPr="00640D01">
              <w:t xml:space="preserve">was </w:t>
            </w:r>
            <w:r w:rsidR="00EE205A" w:rsidRPr="00640D01">
              <w:t>distributed between the road type and must sum to 1.0 for each source type.</w:t>
            </w:r>
          </w:p>
        </w:tc>
      </w:tr>
      <w:tr w:rsidR="00CB4FB1" w:rsidRPr="00640D01" w14:paraId="45F342D0" w14:textId="77777777" w:rsidTr="00B95FFB">
        <w:trPr>
          <w:trHeight w:val="317"/>
        </w:trPr>
        <w:tc>
          <w:tcPr>
            <w:tcW w:w="728" w:type="pct"/>
            <w:vAlign w:val="center"/>
          </w:tcPr>
          <w:p w14:paraId="7DFD3831" w14:textId="3A4ABE84" w:rsidR="00EE205A" w:rsidRPr="00640D01" w:rsidRDefault="00EE205A" w:rsidP="00B95FFB">
            <w:pPr>
              <w:pStyle w:val="TableText"/>
            </w:pPr>
            <w:r w:rsidRPr="00640D01">
              <w:t xml:space="preserve">Average </w:t>
            </w:r>
            <w:r w:rsidR="00ED0411" w:rsidRPr="00640D01">
              <w:t>speed distribution</w:t>
            </w:r>
          </w:p>
        </w:tc>
        <w:tc>
          <w:tcPr>
            <w:tcW w:w="1042" w:type="pct"/>
            <w:vAlign w:val="center"/>
          </w:tcPr>
          <w:p w14:paraId="7661BC10" w14:textId="466F7EB4" w:rsidR="00EE205A" w:rsidRPr="00640D01" w:rsidRDefault="00EE205A" w:rsidP="00B95FFB">
            <w:pPr>
              <w:pStyle w:val="TableText"/>
            </w:pPr>
            <w:r w:rsidRPr="00640D01">
              <w:t xml:space="preserve">Input average speed data specific to vehicle type, road type, and </w:t>
            </w:r>
            <w:r w:rsidR="009333FB" w:rsidRPr="00640D01">
              <w:t xml:space="preserve">hour </w:t>
            </w:r>
            <w:r w:rsidRPr="00640D01">
              <w:t>of day/type of day into 16 speed bins.</w:t>
            </w:r>
          </w:p>
        </w:tc>
        <w:tc>
          <w:tcPr>
            <w:tcW w:w="869" w:type="pct"/>
            <w:vAlign w:val="center"/>
          </w:tcPr>
          <w:p w14:paraId="1E78B337" w14:textId="3B35D8E5" w:rsidR="00EE205A" w:rsidRPr="00640D01" w:rsidRDefault="00EE205A" w:rsidP="00B95FFB">
            <w:pPr>
              <w:pStyle w:val="TableText"/>
            </w:pPr>
            <w:r w:rsidRPr="00640D01">
              <w:t>MOVES default</w:t>
            </w:r>
            <w:r w:rsidR="00AA1CD5" w:rsidRPr="00640D01">
              <w:t>s</w:t>
            </w:r>
            <w:r w:rsidRPr="00640D01">
              <w:t xml:space="preserve"> for rate runs</w:t>
            </w:r>
          </w:p>
        </w:tc>
        <w:tc>
          <w:tcPr>
            <w:tcW w:w="2361" w:type="pct"/>
            <w:vAlign w:val="center"/>
          </w:tcPr>
          <w:p w14:paraId="17801322" w14:textId="57C2E52D" w:rsidR="00EE205A" w:rsidRPr="00640D01" w:rsidRDefault="00EE205A" w:rsidP="00B95FFB">
            <w:pPr>
              <w:pStyle w:val="TableBullet"/>
            </w:pPr>
            <w:r w:rsidRPr="00640D01">
              <w:t xml:space="preserve">Local activity estimates </w:t>
            </w:r>
            <w:r w:rsidR="00F55D3B" w:rsidRPr="00640D01">
              <w:t xml:space="preserve">were </w:t>
            </w:r>
            <w:r w:rsidRPr="00640D01">
              <w:t>applied in emissions calculations external to MOVES.</w:t>
            </w:r>
          </w:p>
          <w:p w14:paraId="276AC423" w14:textId="435E44EC" w:rsidR="00EE205A" w:rsidRPr="00640D01" w:rsidRDefault="00EE205A" w:rsidP="00B95FFB">
            <w:pPr>
              <w:pStyle w:val="TableBullet"/>
            </w:pPr>
            <w:r w:rsidRPr="00640D01">
              <w:t xml:space="preserve">The sum of speed distribution </w:t>
            </w:r>
            <w:r w:rsidR="00C11E32" w:rsidRPr="00640D01">
              <w:t xml:space="preserve">over </w:t>
            </w:r>
            <w:r w:rsidRPr="00640D01">
              <w:t xml:space="preserve">all speed bins for each road type, vehicle type, and </w:t>
            </w:r>
            <w:r w:rsidR="00C11E32" w:rsidRPr="00640D01">
              <w:t>hour</w:t>
            </w:r>
            <w:r w:rsidRPr="00640D01">
              <w:t xml:space="preserve">/day type </w:t>
            </w:r>
            <w:r w:rsidR="00C11E32" w:rsidRPr="00640D01">
              <w:t>is</w:t>
            </w:r>
            <w:r w:rsidRPr="00640D01">
              <w:t xml:space="preserve"> 1.0.</w:t>
            </w:r>
          </w:p>
        </w:tc>
      </w:tr>
      <w:tr w:rsidR="00CB4FB1" w:rsidRPr="00640D01" w14:paraId="19B1777A" w14:textId="77777777" w:rsidTr="00B95FFB">
        <w:trPr>
          <w:trHeight w:val="317"/>
        </w:trPr>
        <w:tc>
          <w:tcPr>
            <w:tcW w:w="728" w:type="pct"/>
            <w:vAlign w:val="center"/>
          </w:tcPr>
          <w:p w14:paraId="24D70803" w14:textId="2C894291" w:rsidR="00EE205A" w:rsidRPr="00640D01" w:rsidRDefault="00EE205A" w:rsidP="00B95FFB">
            <w:pPr>
              <w:pStyle w:val="TableText"/>
            </w:pPr>
            <w:r w:rsidRPr="00640D01">
              <w:lastRenderedPageBreak/>
              <w:t xml:space="preserve">Fuel </w:t>
            </w:r>
            <w:r w:rsidR="00ED0411" w:rsidRPr="00640D01">
              <w:t xml:space="preserve">supply </w:t>
            </w:r>
            <w:r w:rsidRPr="00640D01">
              <w:t>(</w:t>
            </w:r>
            <w:r w:rsidR="002F0075" w:rsidRPr="00640D01">
              <w:fldChar w:fldCharType="begin"/>
            </w:r>
            <w:r w:rsidR="002F0075" w:rsidRPr="00640D01">
              <w:instrText xml:space="preserve"> REF _Ref156566969 \h  \* MERGEFORMAT </w:instrText>
            </w:r>
            <w:r w:rsidR="002F0075" w:rsidRPr="00640D01">
              <w:fldChar w:fldCharType="separate"/>
            </w:r>
            <w:r w:rsidR="00514311" w:rsidRPr="00640D01">
              <w:t>Table </w:t>
            </w:r>
            <w:r w:rsidR="00514311">
              <w:t>5</w:t>
            </w:r>
            <w:r w:rsidR="00514311">
              <w:noBreakHyphen/>
              <w:t>2</w:t>
            </w:r>
            <w:r w:rsidR="002F0075" w:rsidRPr="00640D01">
              <w:fldChar w:fldCharType="end"/>
            </w:r>
            <w:r w:rsidRPr="00640D01">
              <w:t>)</w:t>
            </w:r>
          </w:p>
        </w:tc>
        <w:tc>
          <w:tcPr>
            <w:tcW w:w="1042" w:type="pct"/>
            <w:vAlign w:val="center"/>
          </w:tcPr>
          <w:p w14:paraId="685B3035" w14:textId="1CB41CCB" w:rsidR="00EE205A" w:rsidRPr="00640D01" w:rsidRDefault="00EE205A" w:rsidP="00176A31">
            <w:pPr>
              <w:pStyle w:val="TableText"/>
              <w:keepLines/>
              <w:rPr>
                <w:szCs w:val="22"/>
              </w:rPr>
            </w:pPr>
            <w:r w:rsidRPr="00640D01">
              <w:rPr>
                <w:szCs w:val="22"/>
              </w:rPr>
              <w:t xml:space="preserve">Input </w:t>
            </w:r>
            <w:r w:rsidR="00ED0411" w:rsidRPr="00640D01">
              <w:rPr>
                <w:szCs w:val="22"/>
              </w:rPr>
              <w:t xml:space="preserve">data </w:t>
            </w:r>
            <w:r w:rsidRPr="00640D01">
              <w:rPr>
                <w:szCs w:val="22"/>
              </w:rPr>
              <w:t>to assign existing fuels to counties, months, and years, and to assign the associated market share for each fuel</w:t>
            </w:r>
            <w:r w:rsidR="009333FB" w:rsidRPr="00640D01">
              <w:rPr>
                <w:szCs w:val="22"/>
              </w:rPr>
              <w:t>.</w:t>
            </w:r>
          </w:p>
        </w:tc>
        <w:tc>
          <w:tcPr>
            <w:tcW w:w="869" w:type="pct"/>
            <w:vAlign w:val="center"/>
          </w:tcPr>
          <w:p w14:paraId="0D554849" w14:textId="0686DE7C" w:rsidR="00EE205A" w:rsidRPr="00640D01" w:rsidRDefault="00570773" w:rsidP="00B95FFB">
            <w:pPr>
              <w:pStyle w:val="TableText"/>
              <w:rPr>
                <w:szCs w:val="22"/>
              </w:rPr>
            </w:pPr>
            <w:r w:rsidRPr="00640D01">
              <w:rPr>
                <w:color w:val="7030A0"/>
                <w:szCs w:val="22"/>
              </w:rPr>
              <w:t>TCEQ’s Summer Fuel Field Study</w:t>
            </w:r>
            <w:r w:rsidR="00BA4ED9" w:rsidRPr="00640D01">
              <w:rPr>
                <w:color w:val="7030A0"/>
                <w:szCs w:val="22"/>
              </w:rPr>
              <w:t xml:space="preserve"> (latest year 2023)</w:t>
            </w:r>
          </w:p>
        </w:tc>
        <w:tc>
          <w:tcPr>
            <w:tcW w:w="2361" w:type="pct"/>
            <w:vAlign w:val="center"/>
          </w:tcPr>
          <w:p w14:paraId="33C52384" w14:textId="1BCEABF3" w:rsidR="00436D04" w:rsidRPr="00640D01" w:rsidRDefault="00CB4B55" w:rsidP="00B95FFB">
            <w:pPr>
              <w:pStyle w:val="TableBullet"/>
              <w:rPr>
                <w:color w:val="4C0203"/>
              </w:rPr>
            </w:pPr>
            <w:r w:rsidRPr="00640D01">
              <w:t xml:space="preserve">Fuel </w:t>
            </w:r>
            <w:r w:rsidR="00234189" w:rsidRPr="00640D01">
              <w:t xml:space="preserve">supply is </w:t>
            </w:r>
            <w:r w:rsidRPr="00640D01">
              <w:t>based on</w:t>
            </w:r>
            <w:r w:rsidR="00436D04" w:rsidRPr="00640D01">
              <w:t xml:space="preserve"> the latest available</w:t>
            </w:r>
            <w:r w:rsidR="00B73847" w:rsidRPr="00640D01">
              <w:t xml:space="preserve"> survey data from</w:t>
            </w:r>
            <w:r w:rsidR="00234189" w:rsidRPr="00640D01">
              <w:t xml:space="preserve"> the</w:t>
            </w:r>
            <w:r w:rsidR="00436D04" w:rsidRPr="00640D01">
              <w:t xml:space="preserve"> (</w:t>
            </w:r>
            <w:r w:rsidR="00436D04" w:rsidRPr="00640D01">
              <w:rPr>
                <w:color w:val="7030A0"/>
              </w:rPr>
              <w:t>2023</w:t>
            </w:r>
            <w:r w:rsidR="00436D04" w:rsidRPr="00640D01">
              <w:t xml:space="preserve">) Summer Fuel Field Study, sponsored by TCEQ, and other information such as </w:t>
            </w:r>
            <w:r w:rsidR="00FD2480" w:rsidRPr="00640D01">
              <w:t>motor gasoline sales volume</w:t>
            </w:r>
            <w:r w:rsidR="00B73847" w:rsidRPr="00640D01">
              <w:t xml:space="preserve"> and transportation</w:t>
            </w:r>
            <w:r w:rsidR="00AA1CD5" w:rsidRPr="00640D01">
              <w:t>-</w:t>
            </w:r>
            <w:r w:rsidR="00B73847" w:rsidRPr="00640D01">
              <w:t>sector consumption.</w:t>
            </w:r>
          </w:p>
          <w:p w14:paraId="18BC484B" w14:textId="167C66EA" w:rsidR="00B73847" w:rsidRPr="00640D01" w:rsidRDefault="005D2F1C" w:rsidP="00B95FFB">
            <w:pPr>
              <w:pStyle w:val="TableBullet"/>
            </w:pPr>
            <w:r w:rsidRPr="00640D01">
              <w:t>Fuel supply information is uniform across each MOVES fuel region</w:t>
            </w:r>
            <w:r w:rsidR="00016B24" w:rsidRPr="00640D01">
              <w:t xml:space="preserve"> (there are </w:t>
            </w:r>
            <w:r w:rsidR="00234189" w:rsidRPr="00640D01">
              <w:t xml:space="preserve">six </w:t>
            </w:r>
            <w:r w:rsidR="00016B24" w:rsidRPr="00640D01">
              <w:t xml:space="preserve">fuel </w:t>
            </w:r>
            <w:r w:rsidR="004C2A6C" w:rsidRPr="00640D01">
              <w:t>regions</w:t>
            </w:r>
            <w:r w:rsidR="00016B24" w:rsidRPr="00640D01">
              <w:t xml:space="preserve"> in Texas</w:t>
            </w:r>
            <w:r w:rsidR="00234189" w:rsidRPr="00640D01">
              <w:t>:</w:t>
            </w:r>
            <w:r w:rsidR="004C2A6C" w:rsidRPr="00640D01">
              <w:t xml:space="preserve"> 132 </w:t>
            </w:r>
            <w:r w:rsidR="00234189" w:rsidRPr="00640D01">
              <w:t xml:space="preserve">western </w:t>
            </w:r>
            <w:r w:rsidR="004C2A6C" w:rsidRPr="00640D01">
              <w:t>Texas counties</w:t>
            </w:r>
            <w:r w:rsidR="00021CEC" w:rsidRPr="00640D01">
              <w:t xml:space="preserve"> [ID</w:t>
            </w:r>
            <w:r w:rsidR="00AA1CD5" w:rsidRPr="00640D01">
              <w:t> </w:t>
            </w:r>
            <w:r w:rsidR="00021CEC" w:rsidRPr="00640D01">
              <w:t xml:space="preserve">300000000], 95 </w:t>
            </w:r>
            <w:r w:rsidR="00234189" w:rsidRPr="00640D01">
              <w:t xml:space="preserve">eastern </w:t>
            </w:r>
            <w:r w:rsidR="00021CEC" w:rsidRPr="00640D01">
              <w:t xml:space="preserve">Texas </w:t>
            </w:r>
            <w:r w:rsidR="00234189" w:rsidRPr="00640D01">
              <w:t xml:space="preserve">counties </w:t>
            </w:r>
            <w:r w:rsidR="00021CEC" w:rsidRPr="00640D01">
              <w:t>[ID</w:t>
            </w:r>
            <w:r w:rsidR="00CE292B" w:rsidRPr="00640D01">
              <w:t xml:space="preserve"> 178010000</w:t>
            </w:r>
            <w:r w:rsidR="00021CEC" w:rsidRPr="00640D01">
              <w:t>], El Paso [ID</w:t>
            </w:r>
            <w:r w:rsidR="00CE292B" w:rsidRPr="00640D01">
              <w:t xml:space="preserve"> 370010000</w:t>
            </w:r>
            <w:r w:rsidR="00021CEC" w:rsidRPr="00640D01">
              <w:t>], etc.</w:t>
            </w:r>
            <w:r w:rsidR="00016B24" w:rsidRPr="00640D01">
              <w:t>)</w:t>
            </w:r>
            <w:r w:rsidR="00234189" w:rsidRPr="00640D01">
              <w:t>.</w:t>
            </w:r>
          </w:p>
          <w:p w14:paraId="24890F32" w14:textId="26C320DA" w:rsidR="00CE703E" w:rsidRPr="00640D01" w:rsidRDefault="00CE703E" w:rsidP="00AA1CD5">
            <w:pPr>
              <w:pStyle w:val="TableBullet"/>
              <w:numPr>
                <w:ilvl w:val="0"/>
                <w:numId w:val="65"/>
              </w:numPr>
            </w:pPr>
            <w:r w:rsidRPr="00640D01">
              <w:t xml:space="preserve">The exception would be the </w:t>
            </w:r>
            <w:r w:rsidR="00234189" w:rsidRPr="00640D01">
              <w:t xml:space="preserve">reformulated gasoline </w:t>
            </w:r>
            <w:r w:rsidRPr="00640D01">
              <w:t>regions</w:t>
            </w:r>
            <w:r w:rsidR="00234189" w:rsidRPr="00640D01">
              <w:t xml:space="preserve">, </w:t>
            </w:r>
            <w:r w:rsidRPr="00640D01">
              <w:t xml:space="preserve">where </w:t>
            </w:r>
            <w:r w:rsidR="00AA1CD5" w:rsidRPr="00640D01">
              <w:t>DFW</w:t>
            </w:r>
            <w:r w:rsidRPr="00640D01">
              <w:t xml:space="preserve"> and Houston-Galveston-Brazoria have separate fuel formulations.</w:t>
            </w:r>
          </w:p>
          <w:p w14:paraId="1BC2C2A2" w14:textId="31C6D423" w:rsidR="00EE205A" w:rsidRPr="00640D01" w:rsidRDefault="00EE205A" w:rsidP="00B95FFB">
            <w:pPr>
              <w:pStyle w:val="TableBullet"/>
              <w:rPr>
                <w:color w:val="4C0203"/>
              </w:rPr>
            </w:pPr>
            <w:r w:rsidRPr="00640D01">
              <w:t>For each analysis year and season, the fuel supply consist</w:t>
            </w:r>
            <w:r w:rsidR="00CD0266" w:rsidRPr="00640D01">
              <w:t>ed</w:t>
            </w:r>
            <w:r w:rsidRPr="00640D01">
              <w:t xml:space="preserve"> of one conventional gasoline formulation and one biodiesel formulation.</w:t>
            </w:r>
          </w:p>
        </w:tc>
      </w:tr>
      <w:tr w:rsidR="00CB4FB1" w:rsidRPr="00640D01" w14:paraId="67DDD709" w14:textId="77777777" w:rsidTr="00B95FFB">
        <w:trPr>
          <w:trHeight w:val="317"/>
        </w:trPr>
        <w:tc>
          <w:tcPr>
            <w:tcW w:w="728" w:type="pct"/>
            <w:vAlign w:val="center"/>
          </w:tcPr>
          <w:p w14:paraId="484146C1" w14:textId="730FE433" w:rsidR="00EE205A" w:rsidRPr="00640D01" w:rsidRDefault="00EE205A" w:rsidP="00B95FFB">
            <w:pPr>
              <w:pStyle w:val="TableText"/>
            </w:pPr>
            <w:r w:rsidRPr="00640D01">
              <w:t xml:space="preserve">Fuel </w:t>
            </w:r>
            <w:r w:rsidR="00ED0411" w:rsidRPr="00640D01">
              <w:t xml:space="preserve">formulation </w:t>
            </w:r>
            <w:r w:rsidRPr="00640D01">
              <w:t>(</w:t>
            </w:r>
            <w:r w:rsidRPr="00640D01">
              <w:fldChar w:fldCharType="begin"/>
            </w:r>
            <w:r w:rsidRPr="00640D01">
              <w:instrText xml:space="preserve"> REF _Ref138257353 \h  \* MERGEFORMAT </w:instrText>
            </w:r>
            <w:r w:rsidRPr="00640D01">
              <w:fldChar w:fldCharType="separate"/>
            </w:r>
            <w:r w:rsidR="00514311" w:rsidRPr="00640D01">
              <w:t xml:space="preserve">Table </w:t>
            </w:r>
            <w:r w:rsidR="00514311" w:rsidRPr="00514311">
              <w:rPr>
                <w:iCs/>
              </w:rPr>
              <w:t>5</w:t>
            </w:r>
            <w:r w:rsidR="00514311" w:rsidRPr="00514311">
              <w:rPr>
                <w:iCs/>
              </w:rPr>
              <w:noBreakHyphen/>
              <w:t>3</w:t>
            </w:r>
            <w:r w:rsidRPr="00640D01">
              <w:fldChar w:fldCharType="end"/>
            </w:r>
            <w:r w:rsidRPr="00640D01">
              <w:t>)</w:t>
            </w:r>
          </w:p>
        </w:tc>
        <w:tc>
          <w:tcPr>
            <w:tcW w:w="1042" w:type="pct"/>
            <w:vAlign w:val="center"/>
          </w:tcPr>
          <w:p w14:paraId="0B44463D" w14:textId="3E5C8E5E" w:rsidR="00EE205A" w:rsidRPr="00640D01" w:rsidRDefault="00EE205A" w:rsidP="00B95FFB">
            <w:pPr>
              <w:pStyle w:val="TableText"/>
            </w:pPr>
            <w:r w:rsidRPr="00640D01">
              <w:t xml:space="preserve">Input </w:t>
            </w:r>
            <w:r w:rsidR="009333FB" w:rsidRPr="00640D01">
              <w:t>Texas fuel region</w:t>
            </w:r>
            <w:r w:rsidR="00684C90" w:rsidRPr="00640D01">
              <w:t>-</w:t>
            </w:r>
            <w:r w:rsidRPr="00640D01">
              <w:t>specific fuel properties</w:t>
            </w:r>
            <w:r w:rsidR="009333FB" w:rsidRPr="00640D01">
              <w:t xml:space="preserve"> applicable to the county.</w:t>
            </w:r>
          </w:p>
        </w:tc>
        <w:tc>
          <w:tcPr>
            <w:tcW w:w="869" w:type="pct"/>
            <w:vAlign w:val="center"/>
          </w:tcPr>
          <w:p w14:paraId="554749C2" w14:textId="5FB16FED" w:rsidR="00EE205A" w:rsidRPr="00640D01" w:rsidRDefault="00321877" w:rsidP="00B95FFB">
            <w:pPr>
              <w:pStyle w:val="TableText"/>
            </w:pPr>
            <w:r w:rsidRPr="00640D01">
              <w:rPr>
                <w:color w:val="7030A0"/>
              </w:rPr>
              <w:t>[</w:t>
            </w:r>
            <w:r w:rsidRPr="00176A31">
              <w:rPr>
                <w:b/>
                <w:bCs/>
                <w:color w:val="7030A0"/>
              </w:rPr>
              <w:t>Example:</w:t>
            </w:r>
            <w:r w:rsidRPr="00640D01">
              <w:rPr>
                <w:color w:val="7030A0"/>
              </w:rPr>
              <w:t xml:space="preserve"> </w:t>
            </w:r>
            <w:r w:rsidR="00EE205A" w:rsidRPr="00640D01">
              <w:rPr>
                <w:color w:val="7030A0"/>
              </w:rPr>
              <w:t>El Paso fuel survey data</w:t>
            </w:r>
            <w:r w:rsidRPr="00640D01">
              <w:rPr>
                <w:color w:val="7030A0"/>
              </w:rPr>
              <w:t>]</w:t>
            </w:r>
            <w:r w:rsidR="00EE205A" w:rsidRPr="00640D01">
              <w:rPr>
                <w:color w:val="7030A0"/>
              </w:rPr>
              <w:t xml:space="preserve"> </w:t>
            </w:r>
            <w:r w:rsidR="00EE205A" w:rsidRPr="00640D01">
              <w:t xml:space="preserve">Department of Energy (DOE) state-level biodiesel consumption </w:t>
            </w:r>
            <w:r w:rsidR="005838BB" w:rsidRPr="00640D01">
              <w:t>estimates and</w:t>
            </w:r>
            <w:r w:rsidR="00EE205A" w:rsidRPr="00640D01">
              <w:t xml:space="preserve"> MOVES defaults</w:t>
            </w:r>
            <w:r w:rsidR="009333FB" w:rsidRPr="00640D01">
              <w:t xml:space="preserve"> (for expected future</w:t>
            </w:r>
            <w:r w:rsidR="00ED0411" w:rsidRPr="00640D01">
              <w:t>-</w:t>
            </w:r>
            <w:r w:rsidR="009333FB" w:rsidRPr="00640D01">
              <w:t>year values)</w:t>
            </w:r>
            <w:r w:rsidR="00EE205A" w:rsidRPr="00640D01">
              <w:t xml:space="preserve"> for parameters</w:t>
            </w:r>
          </w:p>
        </w:tc>
        <w:tc>
          <w:tcPr>
            <w:tcW w:w="2361" w:type="pct"/>
            <w:vAlign w:val="center"/>
          </w:tcPr>
          <w:p w14:paraId="2AE568C6" w14:textId="7FCE70DB" w:rsidR="00EE205A" w:rsidRPr="00640D01" w:rsidRDefault="0082010A" w:rsidP="00B95FFB">
            <w:pPr>
              <w:pStyle w:val="TableBullet"/>
              <w:rPr>
                <w:color w:val="7030A0"/>
              </w:rPr>
            </w:pPr>
            <w:r w:rsidRPr="00640D01">
              <w:rPr>
                <w:color w:val="7030A0"/>
              </w:rPr>
              <w:t>[</w:t>
            </w:r>
            <w:r w:rsidR="00321877" w:rsidRPr="00640D01">
              <w:rPr>
                <w:b/>
                <w:bCs/>
                <w:color w:val="7030A0"/>
              </w:rPr>
              <w:t>Example</w:t>
            </w:r>
            <w:r w:rsidR="00321877" w:rsidRPr="00640D01">
              <w:rPr>
                <w:color w:val="7030A0"/>
              </w:rPr>
              <w:t xml:space="preserve">: </w:t>
            </w:r>
            <w:r w:rsidR="00EE205A" w:rsidRPr="00640D01">
              <w:rPr>
                <w:color w:val="7030A0"/>
              </w:rPr>
              <w:t xml:space="preserve">Conventional gasoline (CG) formulations based on TCEQ’s summer 2017 and summer </w:t>
            </w:r>
            <w:r w:rsidR="00392357" w:rsidRPr="00640D01">
              <w:rPr>
                <w:color w:val="7030A0"/>
              </w:rPr>
              <w:t xml:space="preserve">2023 </w:t>
            </w:r>
            <w:r w:rsidR="00EE205A" w:rsidRPr="00640D01">
              <w:rPr>
                <w:color w:val="7030A0"/>
              </w:rPr>
              <w:t>(latest available) fuel survey samples from El Paso County.</w:t>
            </w:r>
          </w:p>
          <w:p w14:paraId="3DF150D7" w14:textId="2DCC710E" w:rsidR="00EE205A" w:rsidRPr="00640D01" w:rsidRDefault="00EE205A" w:rsidP="00B95FFB">
            <w:pPr>
              <w:pStyle w:val="TableBullet"/>
              <w:numPr>
                <w:ilvl w:val="1"/>
                <w:numId w:val="41"/>
              </w:numPr>
              <w:ind w:left="610" w:hanging="270"/>
              <w:rPr>
                <w:color w:val="7030A0"/>
              </w:rPr>
            </w:pPr>
            <w:r w:rsidRPr="00640D01">
              <w:rPr>
                <w:color w:val="7030A0"/>
              </w:rPr>
              <w:t xml:space="preserve">The 2017 CG properties </w:t>
            </w:r>
            <w:r w:rsidR="00CD0266" w:rsidRPr="00640D01">
              <w:rPr>
                <w:color w:val="7030A0"/>
              </w:rPr>
              <w:t xml:space="preserve">were </w:t>
            </w:r>
            <w:r w:rsidRPr="00640D01">
              <w:rPr>
                <w:color w:val="7030A0"/>
              </w:rPr>
              <w:t>actual 2017 averages (fuel grade averages weighted by relative sales volumes).</w:t>
            </w:r>
          </w:p>
          <w:p w14:paraId="6DB72AEF" w14:textId="5ECABAD0" w:rsidR="00EE205A" w:rsidRPr="00640D01" w:rsidRDefault="00F82A84" w:rsidP="00B95FFB">
            <w:pPr>
              <w:pStyle w:val="TableBullet"/>
              <w:numPr>
                <w:ilvl w:val="1"/>
                <w:numId w:val="41"/>
              </w:numPr>
              <w:ind w:left="610" w:hanging="270"/>
              <w:rPr>
                <w:color w:val="7030A0"/>
              </w:rPr>
            </w:pPr>
            <w:r w:rsidRPr="00640D01">
              <w:rPr>
                <w:color w:val="7030A0"/>
              </w:rPr>
              <w:t xml:space="preserve">Future years’ </w:t>
            </w:r>
            <w:r w:rsidR="00EE205A" w:rsidRPr="00640D01">
              <w:rPr>
                <w:color w:val="7030A0"/>
              </w:rPr>
              <w:t xml:space="preserve">CG properties </w:t>
            </w:r>
            <w:r w:rsidR="00CD0266" w:rsidRPr="00640D01">
              <w:rPr>
                <w:color w:val="7030A0"/>
              </w:rPr>
              <w:t>were</w:t>
            </w:r>
            <w:r w:rsidR="00EE205A" w:rsidRPr="00640D01">
              <w:rPr>
                <w:color w:val="7030A0"/>
              </w:rPr>
              <w:t xml:space="preserve"> </w:t>
            </w:r>
            <w:r w:rsidR="00684C90" w:rsidRPr="00640D01">
              <w:rPr>
                <w:color w:val="7030A0"/>
              </w:rPr>
              <w:t xml:space="preserve">the </w:t>
            </w:r>
            <w:r w:rsidR="00EE205A" w:rsidRPr="00640D01">
              <w:rPr>
                <w:color w:val="7030A0"/>
              </w:rPr>
              <w:t xml:space="preserve">latest available actual 2020 averages except with </w:t>
            </w:r>
            <w:r w:rsidRPr="00640D01">
              <w:rPr>
                <w:color w:val="7030A0"/>
              </w:rPr>
              <w:t>Reid vapor pressure (</w:t>
            </w:r>
            <w:r w:rsidR="00EE205A" w:rsidRPr="00640D01">
              <w:rPr>
                <w:color w:val="7030A0"/>
              </w:rPr>
              <w:t>RVP</w:t>
            </w:r>
            <w:r w:rsidRPr="00640D01">
              <w:rPr>
                <w:color w:val="7030A0"/>
              </w:rPr>
              <w:t>)</w:t>
            </w:r>
            <w:r w:rsidR="00EE205A" w:rsidRPr="00640D01">
              <w:rPr>
                <w:color w:val="7030A0"/>
              </w:rPr>
              <w:t>, average sulfur level, and average benzene content set to the expected values (MOVES3 defaults, consistent with the pertinent regulatory standards).</w:t>
            </w:r>
          </w:p>
          <w:p w14:paraId="26F70312" w14:textId="1719E45B" w:rsidR="00EE205A" w:rsidRPr="00640D01" w:rsidRDefault="00EE205A" w:rsidP="00B95FFB">
            <w:pPr>
              <w:pStyle w:val="TableBullet"/>
              <w:rPr>
                <w:color w:val="7030A0"/>
              </w:rPr>
            </w:pPr>
            <w:r w:rsidRPr="00640D01">
              <w:rPr>
                <w:color w:val="7030A0"/>
              </w:rPr>
              <w:t xml:space="preserve">The 2017 diesel sulfur level </w:t>
            </w:r>
            <w:r w:rsidR="00CD0266" w:rsidRPr="00640D01">
              <w:rPr>
                <w:color w:val="7030A0"/>
              </w:rPr>
              <w:t xml:space="preserve">was </w:t>
            </w:r>
            <w:r w:rsidRPr="00640D01">
              <w:rPr>
                <w:color w:val="7030A0"/>
              </w:rPr>
              <w:t>the statewide average from TCEQ’s 2017 survey.</w:t>
            </w:r>
          </w:p>
          <w:p w14:paraId="6D3D80E9" w14:textId="226D9BAD" w:rsidR="00EE205A" w:rsidRPr="00640D01" w:rsidRDefault="00EE205A" w:rsidP="00B95FFB">
            <w:pPr>
              <w:pStyle w:val="TableBullet"/>
              <w:numPr>
                <w:ilvl w:val="1"/>
                <w:numId w:val="41"/>
              </w:numPr>
              <w:ind w:left="610" w:hanging="270"/>
              <w:rPr>
                <w:color w:val="7030A0"/>
              </w:rPr>
            </w:pPr>
            <w:r w:rsidRPr="00640D01">
              <w:rPr>
                <w:color w:val="7030A0"/>
              </w:rPr>
              <w:t>Future years</w:t>
            </w:r>
            <w:r w:rsidR="00015DEF" w:rsidRPr="00640D01">
              <w:rPr>
                <w:color w:val="7030A0"/>
              </w:rPr>
              <w:t>’</w:t>
            </w:r>
            <w:r w:rsidRPr="00640D01">
              <w:rPr>
                <w:color w:val="7030A0"/>
              </w:rPr>
              <w:t xml:space="preserve"> diesel sulfur was set to the current expected future</w:t>
            </w:r>
            <w:r w:rsidR="00F82A84" w:rsidRPr="00640D01">
              <w:rPr>
                <w:color w:val="7030A0"/>
              </w:rPr>
              <w:t>-</w:t>
            </w:r>
            <w:r w:rsidRPr="00640D01">
              <w:rPr>
                <w:color w:val="7030A0"/>
              </w:rPr>
              <w:t>year value (6 ppm), which is conservative and consistent with the statewide diesel sulfur average from TCEQ’s latest (2020) survey.</w:t>
            </w:r>
          </w:p>
          <w:p w14:paraId="6B874D66" w14:textId="3C38C03D" w:rsidR="00EE205A" w:rsidRPr="00640D01" w:rsidRDefault="00EE205A" w:rsidP="00B95FFB">
            <w:pPr>
              <w:pStyle w:val="TableBullet"/>
              <w:numPr>
                <w:ilvl w:val="1"/>
                <w:numId w:val="41"/>
              </w:numPr>
              <w:ind w:left="610" w:hanging="270"/>
              <w:rPr>
                <w:color w:val="7030A0"/>
              </w:rPr>
            </w:pPr>
            <w:r w:rsidRPr="00640D01">
              <w:rPr>
                <w:color w:val="7030A0"/>
              </w:rPr>
              <w:t xml:space="preserve">The </w:t>
            </w:r>
            <w:r w:rsidR="00F82A84" w:rsidRPr="00640D01">
              <w:rPr>
                <w:color w:val="7030A0"/>
              </w:rPr>
              <w:t>biodiesel (</w:t>
            </w:r>
            <w:r w:rsidRPr="00640D01">
              <w:rPr>
                <w:color w:val="7030A0"/>
              </w:rPr>
              <w:t>BD</w:t>
            </w:r>
            <w:r w:rsidR="00F82A84" w:rsidRPr="00640D01">
              <w:rPr>
                <w:color w:val="7030A0"/>
              </w:rPr>
              <w:t>)</w:t>
            </w:r>
            <w:r w:rsidRPr="00640D01">
              <w:rPr>
                <w:color w:val="7030A0"/>
              </w:rPr>
              <w:t xml:space="preserve"> ester volume percentages for 2017 and future years were based on 2017 and the latest available (</w:t>
            </w:r>
            <w:r w:rsidR="007F1A41" w:rsidRPr="00640D01">
              <w:rPr>
                <w:color w:val="7030A0"/>
              </w:rPr>
              <w:t>2021</w:t>
            </w:r>
            <w:r w:rsidRPr="00640D01">
              <w:rPr>
                <w:color w:val="7030A0"/>
              </w:rPr>
              <w:t>) DOE state-level transportation sector BD consumption estimates.</w:t>
            </w:r>
          </w:p>
          <w:p w14:paraId="40B12B7B" w14:textId="61FA0BB8" w:rsidR="00EE205A" w:rsidRPr="00640D01" w:rsidRDefault="00EE205A" w:rsidP="00B95FFB">
            <w:pPr>
              <w:pStyle w:val="TableBullet"/>
              <w:numPr>
                <w:ilvl w:val="1"/>
                <w:numId w:val="41"/>
              </w:numPr>
              <w:ind w:left="610" w:hanging="270"/>
              <w:rPr>
                <w:rFonts w:cs="Times New Roman"/>
                <w:color w:val="C00000"/>
                <w:sz w:val="22"/>
              </w:rPr>
            </w:pPr>
            <w:r w:rsidRPr="00640D01">
              <w:rPr>
                <w:color w:val="7030A0"/>
              </w:rPr>
              <w:t>Fuel subtype IDs 12 and 21 are 10% ethanol-blend gasoline and biodiesel, respectively</w:t>
            </w:r>
            <w:r w:rsidR="0082010A" w:rsidRPr="00640D01">
              <w:rPr>
                <w:color w:val="7030A0"/>
              </w:rPr>
              <w:t>]</w:t>
            </w:r>
            <w:r w:rsidR="00F82A84" w:rsidRPr="00640D01">
              <w:rPr>
                <w:color w:val="7030A0"/>
              </w:rPr>
              <w:t>.</w:t>
            </w:r>
          </w:p>
        </w:tc>
      </w:tr>
      <w:tr w:rsidR="00CB4FB1" w:rsidRPr="00640D01" w14:paraId="676470BC" w14:textId="77777777" w:rsidTr="00B95FFB">
        <w:trPr>
          <w:trHeight w:val="317"/>
        </w:trPr>
        <w:tc>
          <w:tcPr>
            <w:tcW w:w="728" w:type="pct"/>
            <w:vAlign w:val="center"/>
          </w:tcPr>
          <w:p w14:paraId="448F6DCE" w14:textId="4B9F4FEE" w:rsidR="00EE205A" w:rsidRPr="00640D01" w:rsidRDefault="00EE205A" w:rsidP="00B95FFB">
            <w:pPr>
              <w:pStyle w:val="TableText"/>
            </w:pPr>
            <w:r w:rsidRPr="00640D01">
              <w:lastRenderedPageBreak/>
              <w:t xml:space="preserve">Fuel </w:t>
            </w:r>
            <w:r w:rsidR="00ED0411" w:rsidRPr="00640D01">
              <w:t>engine fraction</w:t>
            </w:r>
          </w:p>
        </w:tc>
        <w:tc>
          <w:tcPr>
            <w:tcW w:w="1042" w:type="pct"/>
            <w:vAlign w:val="center"/>
          </w:tcPr>
          <w:p w14:paraId="4D744323" w14:textId="58A9EF4F" w:rsidR="00EE205A" w:rsidRPr="00640D01" w:rsidRDefault="00EE205A" w:rsidP="00B95FFB">
            <w:pPr>
              <w:pStyle w:val="TableText"/>
            </w:pPr>
            <w:r w:rsidRPr="00640D01">
              <w:t xml:space="preserve">Input fuel engine fractions (i.e., </w:t>
            </w:r>
            <w:r w:rsidR="00814001" w:rsidRPr="00640D01">
              <w:t xml:space="preserve">gasoline </w:t>
            </w:r>
            <w:r w:rsidRPr="00640D01">
              <w:t>v</w:t>
            </w:r>
            <w:r w:rsidR="00ED0411" w:rsidRPr="00640D01">
              <w:t>ersus</w:t>
            </w:r>
            <w:r w:rsidRPr="00640D01">
              <w:t xml:space="preserve"> </w:t>
            </w:r>
            <w:r w:rsidR="00814001" w:rsidRPr="00640D01">
              <w:t>diesel v</w:t>
            </w:r>
            <w:r w:rsidR="00ED0411" w:rsidRPr="00640D01">
              <w:t>ersus</w:t>
            </w:r>
            <w:r w:rsidR="00814001" w:rsidRPr="00640D01">
              <w:t xml:space="preserve"> </w:t>
            </w:r>
            <w:r w:rsidR="00BB2800" w:rsidRPr="00640D01">
              <w:t>flex-</w:t>
            </w:r>
            <w:r w:rsidR="00814001" w:rsidRPr="00640D01">
              <w:t xml:space="preserve">fuel </w:t>
            </w:r>
            <w:r w:rsidR="00684C90" w:rsidRPr="00640D01">
              <w:t>engine</w:t>
            </w:r>
            <w:r w:rsidRPr="00640D01">
              <w:t xml:space="preserve"> types in the vehicle population) </w:t>
            </w:r>
            <w:r w:rsidR="00814001" w:rsidRPr="00640D01">
              <w:t xml:space="preserve">by model year </w:t>
            </w:r>
            <w:r w:rsidRPr="00640D01">
              <w:t>for all vehicle types.</w:t>
            </w:r>
          </w:p>
        </w:tc>
        <w:tc>
          <w:tcPr>
            <w:tcW w:w="869" w:type="pct"/>
            <w:vAlign w:val="center"/>
          </w:tcPr>
          <w:p w14:paraId="0040849D" w14:textId="0A4E8664" w:rsidR="00EE205A" w:rsidRPr="00640D01" w:rsidRDefault="0082010A" w:rsidP="00B95FFB">
            <w:pPr>
              <w:pStyle w:val="TableText"/>
            </w:pPr>
            <w:r w:rsidRPr="00640D01">
              <w:rPr>
                <w:color w:val="7030A0"/>
              </w:rPr>
              <w:t>[</w:t>
            </w:r>
            <w:r w:rsidR="00A239E7" w:rsidRPr="00176A31">
              <w:rPr>
                <w:b/>
                <w:bCs/>
                <w:color w:val="7030A0"/>
              </w:rPr>
              <w:t>Example:</w:t>
            </w:r>
            <w:r w:rsidR="00A239E7" w:rsidRPr="00640D01">
              <w:rPr>
                <w:color w:val="7030A0"/>
              </w:rPr>
              <w:t xml:space="preserve"> </w:t>
            </w:r>
            <w:r w:rsidR="00EE205A" w:rsidRPr="00640D01">
              <w:rPr>
                <w:color w:val="7030A0"/>
              </w:rPr>
              <w:t xml:space="preserve">TxDMV year-end </w:t>
            </w:r>
            <w:r w:rsidR="00902C39" w:rsidRPr="00640D01">
              <w:rPr>
                <w:color w:val="7030A0"/>
              </w:rPr>
              <w:t xml:space="preserve">2021 </w:t>
            </w:r>
            <w:r w:rsidR="00EE205A" w:rsidRPr="00640D01">
              <w:rPr>
                <w:color w:val="7030A0"/>
              </w:rPr>
              <w:t>registration data</w:t>
            </w:r>
            <w:r w:rsidRPr="00640D01">
              <w:rPr>
                <w:color w:val="7030A0"/>
              </w:rPr>
              <w:t>]</w:t>
            </w:r>
            <w:r w:rsidR="00EE205A" w:rsidRPr="00640D01">
              <w:rPr>
                <w:color w:val="7030A0"/>
              </w:rPr>
              <w:t xml:space="preserve"> </w:t>
            </w:r>
            <w:r w:rsidR="00EE205A" w:rsidRPr="00640D01">
              <w:t>for diesel fractions; MOVES defaults for other source types</w:t>
            </w:r>
          </w:p>
        </w:tc>
        <w:tc>
          <w:tcPr>
            <w:tcW w:w="2361" w:type="pct"/>
            <w:vAlign w:val="center"/>
          </w:tcPr>
          <w:p w14:paraId="462C27EB" w14:textId="018651E5" w:rsidR="00EE205A" w:rsidRPr="00640D01" w:rsidRDefault="00EE205A" w:rsidP="00176A31">
            <w:pPr>
              <w:pStyle w:val="TableBullet"/>
              <w:keepNext/>
            </w:pPr>
            <w:r w:rsidRPr="00640D01">
              <w:t>Locality-</w:t>
            </w:r>
            <w:r w:rsidR="00F82A84" w:rsidRPr="00640D01">
              <w:t>specific</w:t>
            </w:r>
            <w:r w:rsidRPr="00640D01">
              <w:t>/MOVES default.</w:t>
            </w:r>
          </w:p>
          <w:p w14:paraId="6503137C" w14:textId="19006E13" w:rsidR="00EE205A" w:rsidRPr="00640D01" w:rsidRDefault="00015DEF" w:rsidP="00176A31">
            <w:pPr>
              <w:pStyle w:val="TableBullet"/>
              <w:keepLines/>
              <w:rPr>
                <w:color w:val="4C0203"/>
              </w:rPr>
            </w:pPr>
            <w:r w:rsidRPr="00640D01">
              <w:rPr>
                <w:color w:val="7030A0"/>
              </w:rPr>
              <w:t>[</w:t>
            </w:r>
            <w:r w:rsidR="00EE205A" w:rsidRPr="00640D01">
              <w:rPr>
                <w:b/>
                <w:bCs/>
                <w:color w:val="7030A0"/>
              </w:rPr>
              <w:t>TTI</w:t>
            </w:r>
            <w:r w:rsidRPr="00640D01">
              <w:rPr>
                <w:b/>
                <w:bCs/>
                <w:color w:val="7030A0"/>
              </w:rPr>
              <w:t xml:space="preserve"> or MPO</w:t>
            </w:r>
            <w:r w:rsidR="00313C39" w:rsidRPr="00640D01">
              <w:rPr>
                <w:color w:val="7030A0"/>
              </w:rPr>
              <w:t>]</w:t>
            </w:r>
            <w:r w:rsidR="00EE205A" w:rsidRPr="00640D01">
              <w:rPr>
                <w:color w:val="7030A0"/>
              </w:rPr>
              <w:t xml:space="preserve"> </w:t>
            </w:r>
            <w:r w:rsidR="00EE205A" w:rsidRPr="00640D01">
              <w:t>developed the evaluation year-specific local diesel fractions for the MOVES single</w:t>
            </w:r>
            <w:r w:rsidR="00F82A84" w:rsidRPr="00640D01">
              <w:t>-</w:t>
            </w:r>
            <w:r w:rsidR="00EE205A" w:rsidRPr="00640D01">
              <w:t>unit and combination truck source use types using the latest TxDMV data, for all analysis years, aggregated to the statewide level.</w:t>
            </w:r>
            <w:r w:rsidR="00814001" w:rsidRPr="00640D01">
              <w:t xml:space="preserve"> For all source types, </w:t>
            </w:r>
            <w:r w:rsidR="00F82A84" w:rsidRPr="00640D01">
              <w:t>compressed natural gas (</w:t>
            </w:r>
            <w:r w:rsidR="00814001" w:rsidRPr="00640D01">
              <w:t>CNG</w:t>
            </w:r>
            <w:r w:rsidR="00F82A84" w:rsidRPr="00640D01">
              <w:t>)</w:t>
            </w:r>
            <w:r w:rsidR="00814001" w:rsidRPr="00640D01">
              <w:t xml:space="preserve"> and electricity fractions </w:t>
            </w:r>
            <w:r w:rsidR="003B43E9" w:rsidRPr="00640D01">
              <w:t>were</w:t>
            </w:r>
            <w:r w:rsidR="00814001" w:rsidRPr="00640D01">
              <w:t xml:space="preserve"> set to zero</w:t>
            </w:r>
            <w:r w:rsidR="00F82A84" w:rsidRPr="00640D01">
              <w:t>,</w:t>
            </w:r>
            <w:r w:rsidR="00814001" w:rsidRPr="00640D01">
              <w:t xml:space="preserve"> and the gasoline/diesel/flex-fuel fractions were normalized (sum to 1.0) for each source type and model year. Fuel usage for flex-fuel vehicles </w:t>
            </w:r>
            <w:r w:rsidR="005838BB" w:rsidRPr="00640D01">
              <w:t>was</w:t>
            </w:r>
            <w:r w:rsidR="00814001" w:rsidRPr="00640D01">
              <w:t xml:space="preserve"> set to 100% gasoline (in the fuel usage fraction input table).</w:t>
            </w:r>
          </w:p>
          <w:p w14:paraId="346F78CF" w14:textId="408B8501" w:rsidR="00902C39" w:rsidRPr="00640D01" w:rsidRDefault="00902C39" w:rsidP="00B95FFB">
            <w:pPr>
              <w:pStyle w:val="TableBullet"/>
              <w:rPr>
                <w:color w:val="4C0203"/>
              </w:rPr>
            </w:pPr>
            <w:r w:rsidRPr="00640D01">
              <w:t xml:space="preserve">The alternate </w:t>
            </w:r>
            <w:r w:rsidR="00F82A84" w:rsidRPr="00640D01">
              <w:t xml:space="preserve">vehicle fuel technology </w:t>
            </w:r>
            <w:r w:rsidRPr="00640D01">
              <w:t xml:space="preserve">(AVFT) table allows users to customize the distribution of vehicles capable of </w:t>
            </w:r>
            <w:r w:rsidR="00C67729" w:rsidRPr="00640D01">
              <w:t xml:space="preserve">using </w:t>
            </w:r>
            <w:r w:rsidRPr="00640D01">
              <w:t>various fuels and technologies for each model year, which includes defining the proportion of vehicles using diesel, gasoline, E-85, CNG, and electricity for each vehicle type and model year.</w:t>
            </w:r>
          </w:p>
          <w:p w14:paraId="270434A5" w14:textId="337A7278" w:rsidR="00902C39" w:rsidRPr="00640D01" w:rsidRDefault="00902C39" w:rsidP="00B95FFB">
            <w:pPr>
              <w:pStyle w:val="TableBullet"/>
              <w:rPr>
                <w:color w:val="4C0203"/>
              </w:rPr>
            </w:pPr>
            <w:r w:rsidRPr="00640D01">
              <w:t>TTI developed the AVFT table using the latest available (2021) TxDMV registration data, along with default MOVES AVFT data.</w:t>
            </w:r>
          </w:p>
        </w:tc>
      </w:tr>
      <w:tr w:rsidR="00CB4FB1" w:rsidRPr="00640D01" w14:paraId="38FBDA86" w14:textId="77777777" w:rsidTr="00B95FFB">
        <w:trPr>
          <w:trHeight w:val="317"/>
        </w:trPr>
        <w:tc>
          <w:tcPr>
            <w:tcW w:w="728" w:type="pct"/>
            <w:vAlign w:val="center"/>
          </w:tcPr>
          <w:p w14:paraId="1345D17D" w14:textId="6575C1D8" w:rsidR="00EE205A" w:rsidRPr="00640D01" w:rsidRDefault="00EE205A" w:rsidP="00B95FFB">
            <w:pPr>
              <w:pStyle w:val="TableText"/>
            </w:pPr>
            <w:r w:rsidRPr="00640D01">
              <w:t>Meteorology</w:t>
            </w:r>
          </w:p>
          <w:p w14:paraId="78825F2E" w14:textId="58A63B81" w:rsidR="00EE205A" w:rsidRPr="00640D01" w:rsidRDefault="00EE205A" w:rsidP="00B95FFB">
            <w:pPr>
              <w:pStyle w:val="TableText"/>
            </w:pPr>
            <w:r w:rsidRPr="00640D01">
              <w:t>(</w:t>
            </w:r>
            <w:r w:rsidRPr="00640D01">
              <w:fldChar w:fldCharType="begin"/>
            </w:r>
            <w:r w:rsidRPr="00640D01">
              <w:instrText xml:space="preserve"> REF _Ref138257389 \h  \* MERGEFORMAT </w:instrText>
            </w:r>
            <w:r w:rsidRPr="00640D01">
              <w:fldChar w:fldCharType="separate"/>
            </w:r>
            <w:r w:rsidR="00514311" w:rsidRPr="00640D01">
              <w:t xml:space="preserve">Table </w:t>
            </w:r>
            <w:r w:rsidR="00514311" w:rsidRPr="00514311">
              <w:rPr>
                <w:iCs/>
              </w:rPr>
              <w:t>5</w:t>
            </w:r>
            <w:r w:rsidR="00514311" w:rsidRPr="00514311">
              <w:rPr>
                <w:iCs/>
              </w:rPr>
              <w:noBreakHyphen/>
              <w:t>4</w:t>
            </w:r>
            <w:r w:rsidRPr="00640D01">
              <w:fldChar w:fldCharType="end"/>
            </w:r>
            <w:r w:rsidRPr="00640D01">
              <w:t>)</w:t>
            </w:r>
          </w:p>
        </w:tc>
        <w:tc>
          <w:tcPr>
            <w:tcW w:w="1042" w:type="pct"/>
            <w:vAlign w:val="center"/>
          </w:tcPr>
          <w:p w14:paraId="3C8A5F72" w14:textId="43583E65" w:rsidR="00EE205A" w:rsidRPr="00640D01" w:rsidRDefault="00ED0411" w:rsidP="00B95FFB">
            <w:pPr>
              <w:pStyle w:val="TableText"/>
            </w:pPr>
            <w:r w:rsidRPr="00640D01">
              <w:t>Input c</w:t>
            </w:r>
            <w:r w:rsidR="00EE205A" w:rsidRPr="00640D01">
              <w:t>ounty</w:t>
            </w:r>
            <w:r w:rsidRPr="00640D01">
              <w:t>-s</w:t>
            </w:r>
            <w:r w:rsidR="00EE205A" w:rsidRPr="00640D01">
              <w:t>pecific data on temperature</w:t>
            </w:r>
            <w:r w:rsidR="00533245" w:rsidRPr="00640D01">
              <w:t>,</w:t>
            </w:r>
            <w:r w:rsidR="00EE205A" w:rsidRPr="00640D01">
              <w:t xml:space="preserve"> humidity</w:t>
            </w:r>
            <w:r w:rsidR="00533245" w:rsidRPr="00640D01">
              <w:t>, and barometric pressure</w:t>
            </w:r>
            <w:r w:rsidRPr="00640D01">
              <w:t>.</w:t>
            </w:r>
          </w:p>
        </w:tc>
        <w:tc>
          <w:tcPr>
            <w:tcW w:w="869" w:type="pct"/>
            <w:vAlign w:val="center"/>
          </w:tcPr>
          <w:p w14:paraId="237C7C72" w14:textId="2B5E74BF" w:rsidR="00EE205A" w:rsidRPr="00640D01" w:rsidRDefault="0082010A" w:rsidP="00B95FFB">
            <w:pPr>
              <w:pStyle w:val="TableText"/>
            </w:pPr>
            <w:r w:rsidRPr="00640D01">
              <w:rPr>
                <w:color w:val="7030A0"/>
              </w:rPr>
              <w:t>[</w:t>
            </w:r>
            <w:r w:rsidR="00EE205A" w:rsidRPr="00640D01">
              <w:rPr>
                <w:color w:val="7030A0"/>
              </w:rPr>
              <w:t xml:space="preserve">Average hourly </w:t>
            </w:r>
            <w:r w:rsidR="00ED0411" w:rsidRPr="00640D01">
              <w:rPr>
                <w:color w:val="7030A0"/>
              </w:rPr>
              <w:t xml:space="preserve">data </w:t>
            </w:r>
            <w:r w:rsidR="00EE205A" w:rsidRPr="00640D01">
              <w:rPr>
                <w:color w:val="7030A0"/>
              </w:rPr>
              <w:t xml:space="preserve">from weather stations within </w:t>
            </w:r>
            <w:r w:rsidR="00684C90" w:rsidRPr="00640D01">
              <w:rPr>
                <w:color w:val="7030A0"/>
              </w:rPr>
              <w:t xml:space="preserve">the </w:t>
            </w:r>
            <w:r w:rsidR="00ED0411" w:rsidRPr="00640D01">
              <w:rPr>
                <w:color w:val="7030A0"/>
              </w:rPr>
              <w:t>county</w:t>
            </w:r>
            <w:r w:rsidR="00321877" w:rsidRPr="00640D01">
              <w:rPr>
                <w:color w:val="7030A0"/>
              </w:rPr>
              <w:t>]</w:t>
            </w:r>
          </w:p>
        </w:tc>
        <w:tc>
          <w:tcPr>
            <w:tcW w:w="2361" w:type="pct"/>
            <w:vAlign w:val="center"/>
          </w:tcPr>
          <w:p w14:paraId="79BEE7B2" w14:textId="4FE2AD88" w:rsidR="00EE205A" w:rsidRPr="002B447F" w:rsidRDefault="00321877" w:rsidP="00B95FFB">
            <w:pPr>
              <w:pStyle w:val="TableBullet"/>
              <w:rPr>
                <w:color w:val="7030A0"/>
              </w:rPr>
            </w:pPr>
            <w:r w:rsidRPr="00640D01">
              <w:rPr>
                <w:color w:val="7030A0"/>
              </w:rPr>
              <w:t>[</w:t>
            </w:r>
            <w:r w:rsidRPr="00640D01">
              <w:rPr>
                <w:b/>
                <w:bCs/>
                <w:color w:val="7030A0"/>
              </w:rPr>
              <w:t>Example</w:t>
            </w:r>
            <w:r w:rsidRPr="00640D01">
              <w:rPr>
                <w:color w:val="7030A0"/>
              </w:rPr>
              <w:t xml:space="preserve">: </w:t>
            </w:r>
            <w:r w:rsidR="00EE205A" w:rsidRPr="00640D01">
              <w:rPr>
                <w:color w:val="7030A0"/>
              </w:rPr>
              <w:t xml:space="preserve">The summer and winter season temperature and humidity data </w:t>
            </w:r>
            <w:r w:rsidR="00F81D63" w:rsidRPr="00640D01">
              <w:rPr>
                <w:color w:val="7030A0"/>
              </w:rPr>
              <w:t xml:space="preserve">were </w:t>
            </w:r>
            <w:r w:rsidR="00EE205A" w:rsidRPr="00640D01">
              <w:rPr>
                <w:color w:val="7030A0"/>
              </w:rPr>
              <w:t xml:space="preserve">the same </w:t>
            </w:r>
            <w:r w:rsidR="00EE205A" w:rsidRPr="002B447F">
              <w:rPr>
                <w:color w:val="7030A0"/>
              </w:rPr>
              <w:t>values used in the previous MOVES2014a-based Destino 2045 Amendment transportation conformity emissions analysis.</w:t>
            </w:r>
            <w:r w:rsidR="00C67729" w:rsidRPr="002B447F">
              <w:rPr>
                <w:color w:val="7030A0"/>
              </w:rPr>
              <w:t>]</w:t>
            </w:r>
          </w:p>
          <w:p w14:paraId="2BCB800A" w14:textId="61B184DF" w:rsidR="00EE205A" w:rsidRPr="00640D01" w:rsidRDefault="00C67729" w:rsidP="00B95FFB">
            <w:pPr>
              <w:pStyle w:val="TableBullet"/>
              <w:rPr>
                <w:color w:val="4C0203"/>
              </w:rPr>
            </w:pPr>
            <w:r w:rsidRPr="002B447F">
              <w:rPr>
                <w:color w:val="7030A0"/>
              </w:rPr>
              <w:t>[</w:t>
            </w:r>
            <w:r w:rsidR="00EE205A" w:rsidRPr="002B447F">
              <w:rPr>
                <w:color w:val="7030A0"/>
              </w:rPr>
              <w:t>These inputs were based on 2017 El Paso County weather station data, provided by TCEQ, and are consistent with TCEQ’s latest (2017) El Paso periodic emissions inventory submittal to EPA required under the AERR</w:t>
            </w:r>
            <w:r w:rsidR="00A239E7" w:rsidRPr="002B447F">
              <w:rPr>
                <w:color w:val="7030A0"/>
              </w:rPr>
              <w:t>.</w:t>
            </w:r>
            <w:r w:rsidR="00CE703E" w:rsidRPr="002B447F">
              <w:rPr>
                <w:color w:val="7030A0"/>
              </w:rPr>
              <w:t>]</w:t>
            </w:r>
          </w:p>
        </w:tc>
      </w:tr>
      <w:tr w:rsidR="00CB4FB1" w:rsidRPr="00640D01" w14:paraId="7710D041" w14:textId="77777777" w:rsidTr="00B95FFB">
        <w:trPr>
          <w:trHeight w:val="58"/>
        </w:trPr>
        <w:tc>
          <w:tcPr>
            <w:tcW w:w="728" w:type="pct"/>
            <w:vAlign w:val="center"/>
          </w:tcPr>
          <w:p w14:paraId="30FB06D2" w14:textId="293896E8" w:rsidR="00EE205A" w:rsidRPr="00640D01" w:rsidRDefault="00ED0411" w:rsidP="00B95FFB">
            <w:pPr>
              <w:pStyle w:val="TableText"/>
            </w:pPr>
            <w:r w:rsidRPr="00640D01">
              <w:t>Inspection and maintenance (</w:t>
            </w:r>
            <w:r w:rsidR="00EE205A" w:rsidRPr="00640D01">
              <w:t>I/M</w:t>
            </w:r>
            <w:r w:rsidRPr="00640D01">
              <w:t>)</w:t>
            </w:r>
            <w:r w:rsidR="00EE205A" w:rsidRPr="00640D01">
              <w:t xml:space="preserve"> </w:t>
            </w:r>
            <w:r w:rsidRPr="00640D01">
              <w:t xml:space="preserve">coverage </w:t>
            </w:r>
            <w:r w:rsidR="00EE205A" w:rsidRPr="00640D01">
              <w:t>(</w:t>
            </w:r>
            <w:r w:rsidR="00EE205A" w:rsidRPr="00640D01">
              <w:fldChar w:fldCharType="begin"/>
            </w:r>
            <w:r w:rsidR="00EE205A" w:rsidRPr="00640D01">
              <w:instrText xml:space="preserve"> REF _Ref138257403 \h  \* MERGEFORMAT </w:instrText>
            </w:r>
            <w:r w:rsidR="00EE205A" w:rsidRPr="00640D01">
              <w:fldChar w:fldCharType="separate"/>
            </w:r>
            <w:r w:rsidR="00514311" w:rsidRPr="00640D01">
              <w:t xml:space="preserve">Table </w:t>
            </w:r>
            <w:r w:rsidR="00514311" w:rsidRPr="00514311">
              <w:rPr>
                <w:iCs/>
              </w:rPr>
              <w:t>5</w:t>
            </w:r>
            <w:r w:rsidR="00514311" w:rsidRPr="00514311">
              <w:rPr>
                <w:iCs/>
              </w:rPr>
              <w:noBreakHyphen/>
              <w:t>6</w:t>
            </w:r>
            <w:r w:rsidR="00EE205A" w:rsidRPr="00640D01">
              <w:fldChar w:fldCharType="end"/>
            </w:r>
            <w:r w:rsidR="00EE205A" w:rsidRPr="00640D01">
              <w:t>)</w:t>
            </w:r>
          </w:p>
        </w:tc>
        <w:tc>
          <w:tcPr>
            <w:tcW w:w="1042" w:type="pct"/>
            <w:vAlign w:val="center"/>
          </w:tcPr>
          <w:p w14:paraId="29416C59" w14:textId="724355C5" w:rsidR="00EE205A" w:rsidRPr="00640D01" w:rsidRDefault="00EE205A" w:rsidP="00B95FFB">
            <w:pPr>
              <w:pStyle w:val="TableText"/>
            </w:pPr>
            <w:r w:rsidRPr="00640D01">
              <w:t>Input I/M coverage record</w:t>
            </w:r>
            <w:r w:rsidR="00684C90" w:rsidRPr="00640D01">
              <w:t>s</w:t>
            </w:r>
            <w:r w:rsidRPr="00640D01">
              <w:t xml:space="preserve"> for each combination of pollutants, process, county, fuel type, regulatory class</w:t>
            </w:r>
            <w:r w:rsidR="00684C90" w:rsidRPr="00640D01">
              <w:t>,</w:t>
            </w:r>
            <w:r w:rsidRPr="00640D01">
              <w:t xml:space="preserve"> and model year specified using this input.</w:t>
            </w:r>
          </w:p>
        </w:tc>
        <w:tc>
          <w:tcPr>
            <w:tcW w:w="869" w:type="pct"/>
            <w:vAlign w:val="center"/>
          </w:tcPr>
          <w:p w14:paraId="4DE665CD" w14:textId="14289E2C" w:rsidR="00EE205A" w:rsidRPr="00640D01" w:rsidRDefault="00AE5616" w:rsidP="00B95FFB">
            <w:pPr>
              <w:pStyle w:val="TableText"/>
            </w:pPr>
            <w:r w:rsidRPr="00640D01">
              <w:t>TCEQ</w:t>
            </w:r>
            <w:r w:rsidR="00213BC2" w:rsidRPr="00640D01">
              <w:t xml:space="preserve"> provided I/M program statistics for calculating the compliance factor input. TTI developed these inputs essentially in consultation with TCEQ.</w:t>
            </w:r>
          </w:p>
        </w:tc>
        <w:tc>
          <w:tcPr>
            <w:tcW w:w="2361" w:type="pct"/>
            <w:vAlign w:val="center"/>
          </w:tcPr>
          <w:p w14:paraId="1ADC50A7" w14:textId="7CA1D99A" w:rsidR="00EE205A" w:rsidRPr="00640D01" w:rsidRDefault="00C67729" w:rsidP="00B95FFB">
            <w:pPr>
              <w:pStyle w:val="TableBullet"/>
            </w:pPr>
            <w:r w:rsidRPr="00640D01">
              <w:t xml:space="preserve">The begin </w:t>
            </w:r>
            <w:r w:rsidR="00EE205A" w:rsidRPr="00640D01">
              <w:t>and end model year</w:t>
            </w:r>
            <w:r w:rsidR="00BB2800" w:rsidRPr="00640D01">
              <w:t>s</w:t>
            </w:r>
            <w:r w:rsidR="00EE205A" w:rsidRPr="00640D01">
              <w:t xml:space="preserve"> (X</w:t>
            </w:r>
            <w:r w:rsidR="00BB2800" w:rsidRPr="00640D01">
              <w:t xml:space="preserve"> and</w:t>
            </w:r>
            <w:r w:rsidR="00EE205A" w:rsidRPr="00640D01">
              <w:t xml:space="preserve"> Y) define the range of model years covered</w:t>
            </w:r>
            <w:r w:rsidRPr="00640D01">
              <w:t>—</w:t>
            </w:r>
            <w:r w:rsidR="00EE205A" w:rsidRPr="00640D01">
              <w:t>where X and Y</w:t>
            </w:r>
            <w:r w:rsidR="00BB2800" w:rsidRPr="00640D01">
              <w:t xml:space="preserve"> </w:t>
            </w:r>
            <w:r w:rsidR="00EE205A" w:rsidRPr="00640D01">
              <w:t>are calculated as YearID 24 and YearID 2</w:t>
            </w:r>
            <w:r w:rsidR="00BB2800" w:rsidRPr="00640D01">
              <w:t>, respectively</w:t>
            </w:r>
            <w:r w:rsidR="00EE205A" w:rsidRPr="00640D01">
              <w:t>.</w:t>
            </w:r>
          </w:p>
          <w:p w14:paraId="110ECEB8" w14:textId="12FAD6B5" w:rsidR="00EE205A" w:rsidRPr="00640D01" w:rsidRDefault="00C67729" w:rsidP="00B95FFB">
            <w:pPr>
              <w:pStyle w:val="TableBullet"/>
            </w:pPr>
            <w:r w:rsidRPr="00640D01">
              <w:t>TTI calculated</w:t>
            </w:r>
            <w:r w:rsidR="00BB2800" w:rsidRPr="00640D01">
              <w:t xml:space="preserve"> the</w:t>
            </w:r>
            <w:r w:rsidRPr="00640D01">
              <w:t xml:space="preserve"> </w:t>
            </w:r>
            <w:r w:rsidR="00EE205A" w:rsidRPr="00640D01">
              <w:t>I/M compliance factor estimates</w:t>
            </w:r>
            <w:r w:rsidR="00BB2800" w:rsidRPr="00640D01">
              <w:t>,</w:t>
            </w:r>
            <w:r w:rsidR="00EE205A" w:rsidRPr="00640D01">
              <w:t xml:space="preserve"> using </w:t>
            </w:r>
            <w:r w:rsidR="00684C90" w:rsidRPr="00640D01">
              <w:t xml:space="preserve">the </w:t>
            </w:r>
            <w:r w:rsidR="00EE205A" w:rsidRPr="00640D01">
              <w:t xml:space="preserve">MOVES I/M compliance factor equation; </w:t>
            </w:r>
            <w:r w:rsidR="00BB2800" w:rsidRPr="00640D01">
              <w:t xml:space="preserve">the </w:t>
            </w:r>
            <w:r w:rsidR="00EE205A" w:rsidRPr="00640D01">
              <w:t>El Paso I/M-program-specific I/M waiver rates and failure rates</w:t>
            </w:r>
            <w:r w:rsidR="00BB2800" w:rsidRPr="00640D01">
              <w:t xml:space="preserve">; </w:t>
            </w:r>
            <w:r w:rsidR="00EE205A" w:rsidRPr="00640D01">
              <w:t xml:space="preserve">and </w:t>
            </w:r>
            <w:r w:rsidR="00BB2800" w:rsidRPr="00640D01">
              <w:t xml:space="preserve">the </w:t>
            </w:r>
            <w:r w:rsidR="00EE205A" w:rsidRPr="00640D01">
              <w:t>statewide average I/M compliance rates; in combination with MOVES</w:t>
            </w:r>
            <w:r w:rsidR="000F7C93" w:rsidRPr="00640D01">
              <w:t>4</w:t>
            </w:r>
            <w:r w:rsidR="00EE205A" w:rsidRPr="00640D01">
              <w:t xml:space="preserve"> regulatory class coverage adjustments.</w:t>
            </w:r>
          </w:p>
          <w:p w14:paraId="001D173B" w14:textId="615B11C5" w:rsidR="00EE205A" w:rsidRPr="00640D01" w:rsidRDefault="00EE205A" w:rsidP="00B95FFB">
            <w:pPr>
              <w:pStyle w:val="TableBullet"/>
              <w:rPr>
                <w:color w:val="4C0203"/>
              </w:rPr>
            </w:pPr>
            <w:r w:rsidRPr="00640D01">
              <w:t xml:space="preserve">The model processes/pollutants affected </w:t>
            </w:r>
            <w:r w:rsidR="005838BB" w:rsidRPr="00640D01">
              <w:t xml:space="preserve">were </w:t>
            </w:r>
            <w:r w:rsidRPr="00640D01">
              <w:t>start</w:t>
            </w:r>
            <w:r w:rsidR="00684C90" w:rsidRPr="00640D01">
              <w:t>ing</w:t>
            </w:r>
            <w:r w:rsidRPr="00640D01">
              <w:t xml:space="preserve"> and running exhaust </w:t>
            </w:r>
            <w:r w:rsidR="00A239E7" w:rsidRPr="00640D01">
              <w:t>hydrocarbon (</w:t>
            </w:r>
            <w:r w:rsidRPr="00640D01">
              <w:t>HC</w:t>
            </w:r>
            <w:r w:rsidR="00A239E7" w:rsidRPr="00640D01">
              <w:t>)</w:t>
            </w:r>
            <w:r w:rsidRPr="00640D01">
              <w:t xml:space="preserve">, CO, NOx, and tank vapor venting HC; </w:t>
            </w:r>
            <w:r w:rsidR="00C67729" w:rsidRPr="00640D01">
              <w:t xml:space="preserve">the </w:t>
            </w:r>
            <w:r w:rsidRPr="00640D01">
              <w:t xml:space="preserve">fuel type is gasoline; </w:t>
            </w:r>
            <w:r w:rsidR="00C67729" w:rsidRPr="00640D01">
              <w:t xml:space="preserve">the </w:t>
            </w:r>
            <w:r w:rsidRPr="00640D01">
              <w:t>frequency is annual.</w:t>
            </w:r>
          </w:p>
        </w:tc>
      </w:tr>
    </w:tbl>
    <w:p w14:paraId="4CEC242A" w14:textId="77777777" w:rsidR="00321877" w:rsidRPr="00640D01" w:rsidRDefault="00321877" w:rsidP="00EE205A">
      <w:pPr>
        <w:pStyle w:val="Caption"/>
        <w:spacing w:line="22" w:lineRule="atLeast"/>
        <w:rPr>
          <w:rFonts w:cs="Segoe UI"/>
          <w:bCs/>
          <w:iCs w:val="0"/>
          <w:color w:val="000000" w:themeColor="text1"/>
          <w:sz w:val="20"/>
          <w:szCs w:val="20"/>
        </w:rPr>
        <w:sectPr w:rsidR="00321877" w:rsidRPr="00640D01" w:rsidSect="007C4D26">
          <w:footerReference w:type="default" r:id="rId40"/>
          <w:pgSz w:w="15840" w:h="12240" w:orient="landscape"/>
          <w:pgMar w:top="1440" w:right="1440" w:bottom="1440" w:left="1440" w:header="720" w:footer="720" w:gutter="0"/>
          <w:cols w:space="720"/>
          <w:docGrid w:linePitch="360"/>
        </w:sectPr>
      </w:pPr>
      <w:bookmarkStart w:id="100" w:name="_Ref138257380"/>
      <w:bookmarkStart w:id="101" w:name="_Ref138314655"/>
    </w:p>
    <w:p w14:paraId="112EFD98" w14:textId="1DDBF4FA" w:rsidR="00EE205A" w:rsidRPr="00640D01" w:rsidRDefault="00AA1CD5" w:rsidP="00B95FFB">
      <w:pPr>
        <w:pStyle w:val="TableCaption"/>
        <w:rPr>
          <w:i/>
        </w:rPr>
      </w:pPr>
      <w:bookmarkStart w:id="102" w:name="_Ref156566969"/>
      <w:bookmarkStart w:id="103" w:name="_Toc141792901"/>
      <w:bookmarkStart w:id="104" w:name="_Toc190183124"/>
      <w:r w:rsidRPr="00640D01">
        <w:lastRenderedPageBreak/>
        <w:t>Table </w:t>
      </w:r>
      <w:r w:rsidR="00514311">
        <w:fldChar w:fldCharType="begin"/>
      </w:r>
      <w:r w:rsidR="00514311">
        <w:instrText xml:space="preserve"> STYLEREF 1 \s </w:instrText>
      </w:r>
      <w:r w:rsidR="00514311">
        <w:fldChar w:fldCharType="separate"/>
      </w:r>
      <w:r w:rsidR="00514311">
        <w:rPr>
          <w:noProof/>
        </w:rPr>
        <w:t>5</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2</w:t>
      </w:r>
      <w:r w:rsidR="00514311">
        <w:fldChar w:fldCharType="end"/>
      </w:r>
      <w:bookmarkEnd w:id="100"/>
      <w:bookmarkEnd w:id="101"/>
      <w:bookmarkEnd w:id="102"/>
      <w:r w:rsidR="00EE205A" w:rsidRPr="00640D01">
        <w:t>. Fuel Supply</w:t>
      </w:r>
      <w:bookmarkEnd w:id="103"/>
      <w:bookmarkEnd w:id="104"/>
    </w:p>
    <w:tbl>
      <w:tblPr>
        <w:tblStyle w:val="TTITable"/>
        <w:tblW w:w="0" w:type="auto"/>
        <w:tblLook w:val="04A0" w:firstRow="1" w:lastRow="0" w:firstColumn="1" w:lastColumn="0" w:noHBand="0" w:noVBand="1"/>
      </w:tblPr>
      <w:tblGrid>
        <w:gridCol w:w="1078"/>
        <w:gridCol w:w="2516"/>
        <w:gridCol w:w="1411"/>
        <w:gridCol w:w="1815"/>
      </w:tblGrid>
      <w:tr w:rsidR="005D2E1F" w:rsidRPr="00514311" w14:paraId="006E6634" w14:textId="77777777" w:rsidTr="00514311">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shd w:val="clear" w:color="auto" w:fill="002060"/>
          </w:tcPr>
          <w:p w14:paraId="52C3742E" w14:textId="77777777" w:rsidR="00EE205A" w:rsidRPr="00514311" w:rsidRDefault="00EE205A" w:rsidP="00B95FFB">
            <w:pPr>
              <w:pStyle w:val="TableHeader"/>
              <w:rPr>
                <w:b/>
                <w:bCs/>
              </w:rPr>
            </w:pPr>
            <w:r w:rsidRPr="00514311">
              <w:rPr>
                <w:b/>
                <w:bCs/>
              </w:rPr>
              <w:t>Fuel Type</w:t>
            </w:r>
          </w:p>
        </w:tc>
        <w:tc>
          <w:tcPr>
            <w:tcW w:w="0" w:type="auto"/>
            <w:shd w:val="clear" w:color="auto" w:fill="002060"/>
          </w:tcPr>
          <w:p w14:paraId="2F4CD8E3" w14:textId="77777777" w:rsidR="00EE205A" w:rsidRPr="00514311" w:rsidRDefault="00EE205A" w:rsidP="00B95FFB">
            <w:pPr>
              <w:pStyle w:val="TableHeader"/>
              <w:cnfStyle w:val="100000000000" w:firstRow="1" w:lastRow="0" w:firstColumn="0" w:lastColumn="0" w:oddVBand="0" w:evenVBand="0" w:oddHBand="0" w:evenHBand="0" w:firstRowFirstColumn="0" w:firstRowLastColumn="0" w:lastRowFirstColumn="0" w:lastRowLastColumn="0"/>
              <w:rPr>
                <w:b/>
                <w:bCs/>
              </w:rPr>
            </w:pPr>
            <w:r w:rsidRPr="00514311">
              <w:rPr>
                <w:b/>
                <w:bCs/>
              </w:rPr>
              <w:t>Fuel Formulation ID</w:t>
            </w:r>
          </w:p>
        </w:tc>
        <w:tc>
          <w:tcPr>
            <w:tcW w:w="0" w:type="auto"/>
            <w:shd w:val="clear" w:color="auto" w:fill="002060"/>
          </w:tcPr>
          <w:p w14:paraId="32293D94" w14:textId="77777777" w:rsidR="00EE205A" w:rsidRPr="00514311" w:rsidRDefault="00EE205A" w:rsidP="00B95FFB">
            <w:pPr>
              <w:pStyle w:val="TableHeader"/>
              <w:cnfStyle w:val="100000000000" w:firstRow="1" w:lastRow="0" w:firstColumn="0" w:lastColumn="0" w:oddVBand="0" w:evenVBand="0" w:oddHBand="0" w:evenHBand="0" w:firstRowFirstColumn="0" w:firstRowLastColumn="0" w:lastRowFirstColumn="0" w:lastRowLastColumn="0"/>
              <w:rPr>
                <w:b/>
                <w:bCs/>
              </w:rPr>
            </w:pPr>
            <w:r w:rsidRPr="00514311">
              <w:rPr>
                <w:b/>
                <w:bCs/>
              </w:rPr>
              <w:t>Market Share</w:t>
            </w:r>
          </w:p>
        </w:tc>
        <w:tc>
          <w:tcPr>
            <w:tcW w:w="0" w:type="auto"/>
            <w:shd w:val="clear" w:color="auto" w:fill="002060"/>
          </w:tcPr>
          <w:p w14:paraId="732C2AAF" w14:textId="4B419DA4" w:rsidR="00EE205A" w:rsidRPr="00514311" w:rsidRDefault="00EE205A" w:rsidP="00B95FFB">
            <w:pPr>
              <w:pStyle w:val="TableHeader"/>
              <w:cnfStyle w:val="100000000000" w:firstRow="1" w:lastRow="0" w:firstColumn="0" w:lastColumn="0" w:oddVBand="0" w:evenVBand="0" w:oddHBand="0" w:evenHBand="0" w:firstRowFirstColumn="0" w:firstRowLastColumn="0" w:lastRowFirstColumn="0" w:lastRowLastColumn="0"/>
              <w:rPr>
                <w:b/>
                <w:bCs/>
              </w:rPr>
            </w:pPr>
            <w:r w:rsidRPr="00514311">
              <w:rPr>
                <w:b/>
                <w:bCs/>
              </w:rPr>
              <w:t xml:space="preserve">Market Share </w:t>
            </w:r>
            <w:r w:rsidR="00BB2800" w:rsidRPr="00514311">
              <w:rPr>
                <w:b/>
                <w:bCs/>
              </w:rPr>
              <w:t>CV</w:t>
            </w:r>
            <w:r w:rsidR="00BB2800" w:rsidRPr="00514311">
              <w:rPr>
                <w:b/>
                <w:bCs/>
                <w:vertAlign w:val="superscript"/>
              </w:rPr>
              <w:t>*</w:t>
            </w:r>
          </w:p>
        </w:tc>
      </w:tr>
      <w:tr w:rsidR="00EE205A" w:rsidRPr="00640D01" w14:paraId="419F1092"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0" w:type="auto"/>
          </w:tcPr>
          <w:p w14:paraId="2653784A" w14:textId="77777777" w:rsidR="00EE205A" w:rsidRPr="00640D01" w:rsidRDefault="00EE205A" w:rsidP="00B95FFB">
            <w:pPr>
              <w:pStyle w:val="TableText"/>
              <w:rPr>
                <w:color w:val="7030A0"/>
              </w:rPr>
            </w:pPr>
            <w:r w:rsidRPr="00640D01">
              <w:rPr>
                <w:color w:val="7030A0"/>
              </w:rPr>
              <w:t>Gasoline</w:t>
            </w:r>
          </w:p>
        </w:tc>
        <w:tc>
          <w:tcPr>
            <w:tcW w:w="0" w:type="auto"/>
          </w:tcPr>
          <w:p w14:paraId="6B3A667A" w14:textId="4787960D" w:rsidR="00EE205A" w:rsidRPr="00640D01" w:rsidRDefault="00EE205A" w:rsidP="00B95FFB">
            <w:pPr>
              <w:pStyle w:val="TableText"/>
              <w:cnfStyle w:val="000000000000" w:firstRow="0" w:lastRow="0" w:firstColumn="0" w:lastColumn="0" w:oddVBand="0" w:evenVBand="0" w:oddHBand="0" w:evenHBand="0" w:firstRowFirstColumn="0" w:firstRowLastColumn="0" w:lastRowFirstColumn="0" w:lastRowLastColumn="0"/>
              <w:rPr>
                <w:color w:val="7030A0"/>
              </w:rPr>
            </w:pPr>
            <w:r w:rsidRPr="00640D01">
              <w:rPr>
                <w:color w:val="7030A0"/>
              </w:rPr>
              <w:t>17101, 17703, 18101, 18703</w:t>
            </w:r>
          </w:p>
        </w:tc>
        <w:tc>
          <w:tcPr>
            <w:tcW w:w="0" w:type="auto"/>
          </w:tcPr>
          <w:p w14:paraId="3A7A597C" w14:textId="77777777" w:rsidR="00EE205A" w:rsidRPr="00640D01" w:rsidRDefault="00EE205A" w:rsidP="00B95FFB">
            <w:pPr>
              <w:pStyle w:val="TableText"/>
              <w:cnfStyle w:val="000000000000" w:firstRow="0" w:lastRow="0" w:firstColumn="0" w:lastColumn="0" w:oddVBand="0" w:evenVBand="0" w:oddHBand="0" w:evenHBand="0" w:firstRowFirstColumn="0" w:firstRowLastColumn="0" w:lastRowFirstColumn="0" w:lastRowLastColumn="0"/>
              <w:rPr>
                <w:color w:val="7030A0"/>
              </w:rPr>
            </w:pPr>
            <w:r w:rsidRPr="00640D01">
              <w:rPr>
                <w:color w:val="7030A0"/>
              </w:rPr>
              <w:t>1.0</w:t>
            </w:r>
          </w:p>
        </w:tc>
        <w:tc>
          <w:tcPr>
            <w:tcW w:w="0" w:type="auto"/>
          </w:tcPr>
          <w:p w14:paraId="02C7AF5C" w14:textId="77777777" w:rsidR="00EE205A" w:rsidRPr="00640D01" w:rsidRDefault="00EE205A" w:rsidP="00B95FFB">
            <w:pPr>
              <w:pStyle w:val="TableText"/>
              <w:cnfStyle w:val="000000000000" w:firstRow="0" w:lastRow="0" w:firstColumn="0" w:lastColumn="0" w:oddVBand="0" w:evenVBand="0" w:oddHBand="0" w:evenHBand="0" w:firstRowFirstColumn="0" w:firstRowLastColumn="0" w:lastRowFirstColumn="0" w:lastRowLastColumn="0"/>
              <w:rPr>
                <w:color w:val="7030A0"/>
              </w:rPr>
            </w:pPr>
            <w:r w:rsidRPr="00640D01">
              <w:rPr>
                <w:color w:val="7030A0"/>
              </w:rPr>
              <w:t>N/A</w:t>
            </w:r>
          </w:p>
        </w:tc>
      </w:tr>
      <w:tr w:rsidR="00EE205A" w:rsidRPr="00640D01" w14:paraId="21BB1D58"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0" w:type="auto"/>
          </w:tcPr>
          <w:p w14:paraId="0E4B9B11" w14:textId="77777777" w:rsidR="00EE205A" w:rsidRPr="00640D01" w:rsidRDefault="00EE205A" w:rsidP="00B95FFB">
            <w:pPr>
              <w:pStyle w:val="TableText"/>
              <w:rPr>
                <w:color w:val="7030A0"/>
              </w:rPr>
            </w:pPr>
            <w:r w:rsidRPr="00640D01">
              <w:rPr>
                <w:color w:val="7030A0"/>
              </w:rPr>
              <w:t>Diesel</w:t>
            </w:r>
          </w:p>
        </w:tc>
        <w:tc>
          <w:tcPr>
            <w:tcW w:w="0" w:type="auto"/>
          </w:tcPr>
          <w:p w14:paraId="0588A67C" w14:textId="77777777" w:rsidR="00EE205A" w:rsidRPr="00640D01" w:rsidRDefault="00EE205A" w:rsidP="00B95FFB">
            <w:pPr>
              <w:pStyle w:val="TableText"/>
              <w:cnfStyle w:val="000000000000" w:firstRow="0" w:lastRow="0" w:firstColumn="0" w:lastColumn="0" w:oddVBand="0" w:evenVBand="0" w:oddHBand="0" w:evenHBand="0" w:firstRowFirstColumn="0" w:firstRowLastColumn="0" w:lastRowFirstColumn="0" w:lastRowLastColumn="0"/>
              <w:rPr>
                <w:color w:val="7030A0"/>
              </w:rPr>
            </w:pPr>
            <w:r w:rsidRPr="00640D01">
              <w:rPr>
                <w:color w:val="7030A0"/>
              </w:rPr>
              <w:t>30600, 30637</w:t>
            </w:r>
          </w:p>
        </w:tc>
        <w:tc>
          <w:tcPr>
            <w:tcW w:w="0" w:type="auto"/>
          </w:tcPr>
          <w:p w14:paraId="66678536" w14:textId="77777777" w:rsidR="00EE205A" w:rsidRPr="00640D01" w:rsidRDefault="00EE205A" w:rsidP="00B95FFB">
            <w:pPr>
              <w:pStyle w:val="TableText"/>
              <w:cnfStyle w:val="000000000000" w:firstRow="0" w:lastRow="0" w:firstColumn="0" w:lastColumn="0" w:oddVBand="0" w:evenVBand="0" w:oddHBand="0" w:evenHBand="0" w:firstRowFirstColumn="0" w:firstRowLastColumn="0" w:lastRowFirstColumn="0" w:lastRowLastColumn="0"/>
              <w:rPr>
                <w:color w:val="7030A0"/>
              </w:rPr>
            </w:pPr>
            <w:r w:rsidRPr="00640D01">
              <w:rPr>
                <w:color w:val="7030A0"/>
              </w:rPr>
              <w:t>1.0</w:t>
            </w:r>
          </w:p>
        </w:tc>
        <w:tc>
          <w:tcPr>
            <w:tcW w:w="0" w:type="auto"/>
          </w:tcPr>
          <w:p w14:paraId="2C6E623A" w14:textId="77777777" w:rsidR="00EE205A" w:rsidRPr="00640D01" w:rsidRDefault="00EE205A" w:rsidP="00B95FFB">
            <w:pPr>
              <w:pStyle w:val="TableText"/>
              <w:cnfStyle w:val="000000000000" w:firstRow="0" w:lastRow="0" w:firstColumn="0" w:lastColumn="0" w:oddVBand="0" w:evenVBand="0" w:oddHBand="0" w:evenHBand="0" w:firstRowFirstColumn="0" w:firstRowLastColumn="0" w:lastRowFirstColumn="0" w:lastRowLastColumn="0"/>
              <w:rPr>
                <w:color w:val="7030A0"/>
              </w:rPr>
            </w:pPr>
            <w:r w:rsidRPr="00640D01">
              <w:rPr>
                <w:color w:val="7030A0"/>
              </w:rPr>
              <w:t>N/A</w:t>
            </w:r>
          </w:p>
        </w:tc>
      </w:tr>
    </w:tbl>
    <w:p w14:paraId="22617D61" w14:textId="4F0ADBA2" w:rsidR="00EE205A" w:rsidRPr="00640D01" w:rsidRDefault="00BB2800" w:rsidP="00176A31">
      <w:pPr>
        <w:pStyle w:val="TableNote"/>
        <w:ind w:left="1260" w:right="1080" w:hanging="180"/>
      </w:pPr>
      <w:r w:rsidRPr="00176A31">
        <w:t>*</w:t>
      </w:r>
      <w:r w:rsidR="009C54DD" w:rsidRPr="00640D01">
        <w:rPr>
          <w:vertAlign w:val="superscript"/>
        </w:rPr>
        <w:tab/>
      </w:r>
      <w:r w:rsidR="009C54DD" w:rsidRPr="00640D01">
        <w:t>The m</w:t>
      </w:r>
      <w:r w:rsidR="00EE205A" w:rsidRPr="00640D01">
        <w:t xml:space="preserve">arket </w:t>
      </w:r>
      <w:r w:rsidR="009C54DD" w:rsidRPr="00640D01">
        <w:t>s</w:t>
      </w:r>
      <w:r w:rsidR="00EE205A" w:rsidRPr="00640D01">
        <w:t>hare CV</w:t>
      </w:r>
      <w:r w:rsidR="009C54DD" w:rsidRPr="00640D01">
        <w:t xml:space="preserve"> is</w:t>
      </w:r>
      <w:r w:rsidR="00EE205A" w:rsidRPr="00640D01">
        <w:t xml:space="preserve"> the coefficient variation of the market share.</w:t>
      </w:r>
      <w:r w:rsidR="00790F8E" w:rsidRPr="00640D01">
        <w:t xml:space="preserve"> MOVES requires that market shares of all fuel types be included in order to run the model, including </w:t>
      </w:r>
      <w:r w:rsidR="00BC2763" w:rsidRPr="00640D01">
        <w:t>alternative fuel types of E85, CNG, and electricity.</w:t>
      </w:r>
    </w:p>
    <w:p w14:paraId="3E9A57AC" w14:textId="6F634F64" w:rsidR="00EE205A" w:rsidRPr="00640D01" w:rsidRDefault="00EE205A" w:rsidP="00B95FFB">
      <w:pPr>
        <w:pStyle w:val="TableCaption"/>
        <w:rPr>
          <w:i/>
        </w:rPr>
      </w:pPr>
      <w:bookmarkStart w:id="105" w:name="_Ref138257353"/>
      <w:bookmarkStart w:id="106" w:name="_Toc141792902"/>
      <w:bookmarkStart w:id="107" w:name="_Toc190183125"/>
      <w:r w:rsidRPr="00640D01">
        <w:t xml:space="preserve">Table </w:t>
      </w:r>
      <w:r w:rsidR="00514311">
        <w:fldChar w:fldCharType="begin"/>
      </w:r>
      <w:r w:rsidR="00514311">
        <w:instrText xml:space="preserve"> STYLEREF 1 \s </w:instrText>
      </w:r>
      <w:r w:rsidR="00514311">
        <w:fldChar w:fldCharType="separate"/>
      </w:r>
      <w:r w:rsidR="00514311">
        <w:rPr>
          <w:noProof/>
        </w:rPr>
        <w:t>5</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3</w:t>
      </w:r>
      <w:r w:rsidR="00514311">
        <w:fldChar w:fldCharType="end"/>
      </w:r>
      <w:bookmarkEnd w:id="105"/>
      <w:r w:rsidRPr="00640D01">
        <w:t>. Fuel Properties</w:t>
      </w:r>
      <w:bookmarkEnd w:id="106"/>
      <w:bookmarkEnd w:id="107"/>
    </w:p>
    <w:tbl>
      <w:tblPr>
        <w:tblStyle w:val="TableGrid"/>
        <w:tblW w:w="4997" w:type="pct"/>
        <w:jc w:val="center"/>
        <w:tblBorders>
          <w:left w:val="single" w:sz="4" w:space="0" w:color="FFFFFF" w:themeColor="background1"/>
          <w:right w:val="single" w:sz="4" w:space="0" w:color="FFFFFF" w:themeColor="background1"/>
        </w:tblBorders>
        <w:tblCellMar>
          <w:top w:w="29" w:type="dxa"/>
          <w:bottom w:w="29" w:type="dxa"/>
        </w:tblCellMar>
        <w:tblLook w:val="04A0" w:firstRow="1" w:lastRow="0" w:firstColumn="1" w:lastColumn="0" w:noHBand="0" w:noVBand="1"/>
      </w:tblPr>
      <w:tblGrid>
        <w:gridCol w:w="2611"/>
        <w:gridCol w:w="1123"/>
        <w:gridCol w:w="1123"/>
        <w:gridCol w:w="1123"/>
        <w:gridCol w:w="1123"/>
        <w:gridCol w:w="1123"/>
        <w:gridCol w:w="1118"/>
      </w:tblGrid>
      <w:tr w:rsidR="005D2E1F" w:rsidRPr="00640D01" w14:paraId="4EF42366" w14:textId="77777777" w:rsidTr="00B95FFB">
        <w:trPr>
          <w:trHeight w:val="317"/>
          <w:tblHeader/>
          <w:jc w:val="center"/>
        </w:trPr>
        <w:tc>
          <w:tcPr>
            <w:tcW w:w="1397" w:type="pct"/>
            <w:tcBorders>
              <w:right w:val="single" w:sz="4" w:space="0" w:color="FFFFFF" w:themeColor="background1"/>
            </w:tcBorders>
            <w:shd w:val="clear" w:color="auto" w:fill="002060"/>
            <w:vAlign w:val="center"/>
          </w:tcPr>
          <w:p w14:paraId="422237A7" w14:textId="77777777" w:rsidR="00EE205A" w:rsidRPr="00640D01" w:rsidRDefault="00EE205A" w:rsidP="00B95FFB">
            <w:pPr>
              <w:pStyle w:val="TableHeader"/>
            </w:pPr>
            <w:r w:rsidRPr="00640D01">
              <w:t>Factor</w:t>
            </w:r>
          </w:p>
        </w:tc>
        <w:tc>
          <w:tcPr>
            <w:tcW w:w="3603" w:type="pct"/>
            <w:gridSpan w:val="6"/>
            <w:tcBorders>
              <w:left w:val="single" w:sz="4" w:space="0" w:color="FFFFFF" w:themeColor="background1"/>
            </w:tcBorders>
            <w:shd w:val="clear" w:color="auto" w:fill="002060"/>
            <w:vAlign w:val="center"/>
          </w:tcPr>
          <w:p w14:paraId="35BDD729" w14:textId="77777777" w:rsidR="00EE205A" w:rsidRPr="00640D01" w:rsidRDefault="00EE205A" w:rsidP="00B95FFB">
            <w:pPr>
              <w:pStyle w:val="TableHeader"/>
            </w:pPr>
            <w:r w:rsidRPr="00640D01">
              <w:t>Information</w:t>
            </w:r>
          </w:p>
        </w:tc>
      </w:tr>
      <w:tr w:rsidR="00EE205A" w:rsidRPr="00640D01" w14:paraId="0F1516D2" w14:textId="77777777" w:rsidTr="00B95FFB">
        <w:trPr>
          <w:trHeight w:val="317"/>
          <w:jc w:val="center"/>
        </w:trPr>
        <w:tc>
          <w:tcPr>
            <w:tcW w:w="1397" w:type="pct"/>
            <w:vAlign w:val="center"/>
          </w:tcPr>
          <w:p w14:paraId="06FEE24A" w14:textId="4332DBDF" w:rsidR="00EE205A" w:rsidRPr="00640D01" w:rsidRDefault="00EE205A" w:rsidP="00B95FFB">
            <w:pPr>
              <w:pStyle w:val="TableText"/>
            </w:pPr>
            <w:r w:rsidRPr="00640D01">
              <w:t>Fuel Type</w:t>
            </w:r>
          </w:p>
        </w:tc>
        <w:sdt>
          <w:sdtPr>
            <w:rPr>
              <w:color w:val="7030A0"/>
            </w:rPr>
            <w:id w:val="-583150902"/>
            <w:placeholder>
              <w:docPart w:val="A3F92BF0F1B34D9799012D937F458E61"/>
            </w:placeholder>
            <w:dropDownList>
              <w:listItem w:displayText="Gasoline" w:value="Gasoline"/>
              <w:listItem w:displayText="Diesel" w:value="Diesel"/>
            </w:dropDownList>
          </w:sdtPr>
          <w:sdtContent>
            <w:tc>
              <w:tcPr>
                <w:tcW w:w="601" w:type="pct"/>
                <w:vAlign w:val="center"/>
              </w:tcPr>
              <w:p w14:paraId="7B3BE960" w14:textId="31E8DFC6" w:rsidR="00EE205A" w:rsidRPr="00640D01" w:rsidRDefault="00EE205A" w:rsidP="00B95FFB">
                <w:pPr>
                  <w:pStyle w:val="TableText"/>
                  <w:rPr>
                    <w:color w:val="7030A0"/>
                  </w:rPr>
                </w:pPr>
                <w:r w:rsidRPr="00640D01">
                  <w:rPr>
                    <w:color w:val="7030A0"/>
                  </w:rPr>
                  <w:t>Gasoline</w:t>
                </w:r>
              </w:p>
            </w:tc>
          </w:sdtContent>
        </w:sdt>
        <w:sdt>
          <w:sdtPr>
            <w:rPr>
              <w:color w:val="7030A0"/>
            </w:rPr>
            <w:id w:val="-999807753"/>
            <w:placeholder>
              <w:docPart w:val="E8A9F81D8A324D1BA8CD14E3FACAB20D"/>
            </w:placeholder>
            <w:dropDownList>
              <w:listItem w:displayText="Gasoline" w:value="Gasoline"/>
              <w:listItem w:displayText="Diesel" w:value="Diesel"/>
            </w:dropDownList>
          </w:sdtPr>
          <w:sdtContent>
            <w:tc>
              <w:tcPr>
                <w:tcW w:w="601" w:type="pct"/>
                <w:vAlign w:val="center"/>
              </w:tcPr>
              <w:p w14:paraId="4475066E" w14:textId="12C9742B" w:rsidR="00EE205A" w:rsidRPr="00640D01" w:rsidRDefault="00EE205A" w:rsidP="00B95FFB">
                <w:pPr>
                  <w:pStyle w:val="TableText"/>
                  <w:rPr>
                    <w:color w:val="7030A0"/>
                  </w:rPr>
                </w:pPr>
                <w:r w:rsidRPr="00640D01">
                  <w:rPr>
                    <w:color w:val="7030A0"/>
                  </w:rPr>
                  <w:t>Gasoline</w:t>
                </w:r>
              </w:p>
            </w:tc>
          </w:sdtContent>
        </w:sdt>
        <w:sdt>
          <w:sdtPr>
            <w:rPr>
              <w:color w:val="7030A0"/>
            </w:rPr>
            <w:id w:val="-653149771"/>
            <w:placeholder>
              <w:docPart w:val="0CA385E7E8A145EA9A81FE6FCFCF08E6"/>
            </w:placeholder>
            <w:dropDownList>
              <w:listItem w:displayText="Gasoline" w:value="Gasoline"/>
              <w:listItem w:displayText="Diesel" w:value="Diesel"/>
            </w:dropDownList>
          </w:sdtPr>
          <w:sdtContent>
            <w:tc>
              <w:tcPr>
                <w:tcW w:w="601" w:type="pct"/>
                <w:vAlign w:val="center"/>
              </w:tcPr>
              <w:p w14:paraId="58847BDB" w14:textId="4F65D3D0" w:rsidR="00EE205A" w:rsidRPr="00640D01" w:rsidRDefault="00EE205A" w:rsidP="00B95FFB">
                <w:pPr>
                  <w:pStyle w:val="TableText"/>
                  <w:rPr>
                    <w:color w:val="7030A0"/>
                  </w:rPr>
                </w:pPr>
                <w:r w:rsidRPr="00640D01">
                  <w:rPr>
                    <w:color w:val="7030A0"/>
                  </w:rPr>
                  <w:t>Gasoline</w:t>
                </w:r>
              </w:p>
            </w:tc>
          </w:sdtContent>
        </w:sdt>
        <w:sdt>
          <w:sdtPr>
            <w:rPr>
              <w:color w:val="7030A0"/>
            </w:rPr>
            <w:id w:val="-210193275"/>
            <w:placeholder>
              <w:docPart w:val="B0896C462A5C4EC99B2B0599A7C93805"/>
            </w:placeholder>
            <w:dropDownList>
              <w:listItem w:displayText="Gasoline" w:value="Gasoline"/>
              <w:listItem w:displayText="Diesel" w:value="Diesel"/>
            </w:dropDownList>
          </w:sdtPr>
          <w:sdtContent>
            <w:tc>
              <w:tcPr>
                <w:tcW w:w="601" w:type="pct"/>
                <w:vAlign w:val="center"/>
              </w:tcPr>
              <w:p w14:paraId="6D906EDA" w14:textId="01816F4E" w:rsidR="00EE205A" w:rsidRPr="00640D01" w:rsidRDefault="00EE205A" w:rsidP="00B95FFB">
                <w:pPr>
                  <w:pStyle w:val="TableText"/>
                  <w:rPr>
                    <w:color w:val="7030A0"/>
                  </w:rPr>
                </w:pPr>
                <w:r w:rsidRPr="00640D01">
                  <w:rPr>
                    <w:color w:val="7030A0"/>
                  </w:rPr>
                  <w:t>Gasoline</w:t>
                </w:r>
              </w:p>
            </w:tc>
          </w:sdtContent>
        </w:sdt>
        <w:sdt>
          <w:sdtPr>
            <w:rPr>
              <w:color w:val="7030A0"/>
            </w:rPr>
            <w:id w:val="-1181662287"/>
            <w:placeholder>
              <w:docPart w:val="6296A8D3BE9A430FAFCC324FC0F47715"/>
            </w:placeholder>
            <w:dropDownList>
              <w:listItem w:displayText="Gasoline" w:value="Gasoline"/>
              <w:listItem w:displayText="Diesel" w:value="Diesel"/>
            </w:dropDownList>
          </w:sdtPr>
          <w:sdtContent>
            <w:tc>
              <w:tcPr>
                <w:tcW w:w="601" w:type="pct"/>
                <w:vAlign w:val="center"/>
              </w:tcPr>
              <w:p w14:paraId="58F9896B" w14:textId="2681E1D6" w:rsidR="00EE205A" w:rsidRPr="00640D01" w:rsidRDefault="00EE205A" w:rsidP="00B95FFB">
                <w:pPr>
                  <w:pStyle w:val="TableText"/>
                  <w:rPr>
                    <w:color w:val="7030A0"/>
                  </w:rPr>
                </w:pPr>
                <w:r w:rsidRPr="00640D01">
                  <w:rPr>
                    <w:color w:val="7030A0"/>
                  </w:rPr>
                  <w:t>Diesel</w:t>
                </w:r>
              </w:p>
            </w:tc>
          </w:sdtContent>
        </w:sdt>
        <w:sdt>
          <w:sdtPr>
            <w:rPr>
              <w:color w:val="7030A0"/>
            </w:rPr>
            <w:id w:val="852922436"/>
            <w:placeholder>
              <w:docPart w:val="AEBD60C07E0A4FAFBE611D20BB5DB68D"/>
            </w:placeholder>
            <w:dropDownList>
              <w:listItem w:displayText="Gasoline" w:value="Gasoline"/>
              <w:listItem w:displayText="Diesel" w:value="Diesel"/>
            </w:dropDownList>
          </w:sdtPr>
          <w:sdtContent>
            <w:tc>
              <w:tcPr>
                <w:tcW w:w="598" w:type="pct"/>
                <w:vAlign w:val="center"/>
              </w:tcPr>
              <w:p w14:paraId="7819C12F" w14:textId="66A5FBD8" w:rsidR="00EE205A" w:rsidRPr="00640D01" w:rsidRDefault="00EE205A" w:rsidP="00B95FFB">
                <w:pPr>
                  <w:pStyle w:val="TableText"/>
                  <w:rPr>
                    <w:color w:val="7030A0"/>
                  </w:rPr>
                </w:pPr>
                <w:r w:rsidRPr="00640D01">
                  <w:rPr>
                    <w:color w:val="7030A0"/>
                  </w:rPr>
                  <w:t>Diesel</w:t>
                </w:r>
              </w:p>
            </w:tc>
          </w:sdtContent>
        </w:sdt>
      </w:tr>
      <w:tr w:rsidR="00EE205A" w:rsidRPr="00640D01" w14:paraId="479BF3C5" w14:textId="77777777" w:rsidTr="00B95FFB">
        <w:trPr>
          <w:trHeight w:val="317"/>
          <w:jc w:val="center"/>
        </w:trPr>
        <w:tc>
          <w:tcPr>
            <w:tcW w:w="1397" w:type="pct"/>
            <w:vAlign w:val="center"/>
          </w:tcPr>
          <w:p w14:paraId="37193BC0" w14:textId="77777777" w:rsidR="00EE205A" w:rsidRPr="00640D01" w:rsidRDefault="00EE205A" w:rsidP="00B95FFB">
            <w:pPr>
              <w:pStyle w:val="TableText"/>
            </w:pPr>
            <w:r w:rsidRPr="00640D01">
              <w:t>Fuel Formulation ID</w:t>
            </w:r>
          </w:p>
        </w:tc>
        <w:tc>
          <w:tcPr>
            <w:tcW w:w="601" w:type="pct"/>
            <w:vAlign w:val="center"/>
          </w:tcPr>
          <w:p w14:paraId="5E15F6D6" w14:textId="77777777" w:rsidR="00EE205A" w:rsidRPr="00640D01" w:rsidRDefault="00EE205A" w:rsidP="00B95FFB">
            <w:pPr>
              <w:pStyle w:val="TableText"/>
              <w:rPr>
                <w:color w:val="7030A0"/>
              </w:rPr>
            </w:pPr>
            <w:r w:rsidRPr="00640D01">
              <w:rPr>
                <w:color w:val="7030A0"/>
              </w:rPr>
              <w:t>17101</w:t>
            </w:r>
          </w:p>
        </w:tc>
        <w:tc>
          <w:tcPr>
            <w:tcW w:w="601" w:type="pct"/>
            <w:vAlign w:val="center"/>
          </w:tcPr>
          <w:p w14:paraId="0BAB5187" w14:textId="77777777" w:rsidR="00EE205A" w:rsidRPr="00640D01" w:rsidRDefault="00EE205A" w:rsidP="00B95FFB">
            <w:pPr>
              <w:pStyle w:val="TableText"/>
              <w:rPr>
                <w:color w:val="7030A0"/>
              </w:rPr>
            </w:pPr>
            <w:r w:rsidRPr="00640D01">
              <w:rPr>
                <w:color w:val="7030A0"/>
              </w:rPr>
              <w:t>17703</w:t>
            </w:r>
          </w:p>
        </w:tc>
        <w:tc>
          <w:tcPr>
            <w:tcW w:w="601" w:type="pct"/>
            <w:vAlign w:val="center"/>
          </w:tcPr>
          <w:p w14:paraId="46635D18" w14:textId="77777777" w:rsidR="00EE205A" w:rsidRPr="00640D01" w:rsidRDefault="00EE205A" w:rsidP="00B95FFB">
            <w:pPr>
              <w:pStyle w:val="TableText"/>
              <w:rPr>
                <w:color w:val="7030A0"/>
              </w:rPr>
            </w:pPr>
            <w:r w:rsidRPr="00640D01">
              <w:rPr>
                <w:color w:val="7030A0"/>
              </w:rPr>
              <w:t>18101</w:t>
            </w:r>
          </w:p>
        </w:tc>
        <w:tc>
          <w:tcPr>
            <w:tcW w:w="601" w:type="pct"/>
            <w:vAlign w:val="center"/>
          </w:tcPr>
          <w:p w14:paraId="6CF72C45" w14:textId="77777777" w:rsidR="00EE205A" w:rsidRPr="00640D01" w:rsidRDefault="00EE205A" w:rsidP="00B95FFB">
            <w:pPr>
              <w:pStyle w:val="TableText"/>
              <w:rPr>
                <w:color w:val="7030A0"/>
              </w:rPr>
            </w:pPr>
            <w:r w:rsidRPr="00640D01">
              <w:rPr>
                <w:color w:val="7030A0"/>
              </w:rPr>
              <w:t>18703</w:t>
            </w:r>
          </w:p>
        </w:tc>
        <w:tc>
          <w:tcPr>
            <w:tcW w:w="601" w:type="pct"/>
            <w:vAlign w:val="center"/>
          </w:tcPr>
          <w:p w14:paraId="616A4900" w14:textId="77777777" w:rsidR="00EE205A" w:rsidRPr="00640D01" w:rsidRDefault="00EE205A" w:rsidP="00B95FFB">
            <w:pPr>
              <w:pStyle w:val="TableText"/>
              <w:rPr>
                <w:color w:val="7030A0"/>
              </w:rPr>
            </w:pPr>
            <w:r w:rsidRPr="00640D01">
              <w:rPr>
                <w:color w:val="7030A0"/>
              </w:rPr>
              <w:t>30637</w:t>
            </w:r>
          </w:p>
        </w:tc>
        <w:tc>
          <w:tcPr>
            <w:tcW w:w="598" w:type="pct"/>
            <w:vAlign w:val="center"/>
          </w:tcPr>
          <w:p w14:paraId="457F819B" w14:textId="77777777" w:rsidR="00EE205A" w:rsidRPr="00640D01" w:rsidRDefault="00EE205A" w:rsidP="00B95FFB">
            <w:pPr>
              <w:pStyle w:val="TableText"/>
              <w:rPr>
                <w:color w:val="7030A0"/>
              </w:rPr>
            </w:pPr>
            <w:r w:rsidRPr="00640D01">
              <w:rPr>
                <w:color w:val="7030A0"/>
              </w:rPr>
              <w:t>30600</w:t>
            </w:r>
          </w:p>
        </w:tc>
      </w:tr>
      <w:tr w:rsidR="00EE205A" w:rsidRPr="00640D01" w14:paraId="561FBF9D" w14:textId="77777777" w:rsidTr="00B95FFB">
        <w:trPr>
          <w:trHeight w:val="317"/>
          <w:jc w:val="center"/>
        </w:trPr>
        <w:tc>
          <w:tcPr>
            <w:tcW w:w="1397" w:type="pct"/>
            <w:vAlign w:val="center"/>
          </w:tcPr>
          <w:p w14:paraId="44E3ABF3" w14:textId="77777777" w:rsidR="00EE205A" w:rsidRPr="00640D01" w:rsidRDefault="00EE205A" w:rsidP="00B95FFB">
            <w:pPr>
              <w:pStyle w:val="TableText"/>
            </w:pPr>
            <w:r w:rsidRPr="00640D01">
              <w:t>Fuel Subtype ID</w:t>
            </w:r>
          </w:p>
        </w:tc>
        <w:tc>
          <w:tcPr>
            <w:tcW w:w="601" w:type="pct"/>
            <w:vAlign w:val="center"/>
          </w:tcPr>
          <w:p w14:paraId="6D486BE1" w14:textId="77777777" w:rsidR="00EE205A" w:rsidRPr="00640D01" w:rsidRDefault="00EE205A" w:rsidP="00B95FFB">
            <w:pPr>
              <w:pStyle w:val="TableText"/>
              <w:rPr>
                <w:color w:val="7030A0"/>
              </w:rPr>
            </w:pPr>
            <w:r w:rsidRPr="00640D01">
              <w:rPr>
                <w:color w:val="7030A0"/>
              </w:rPr>
              <w:t>12</w:t>
            </w:r>
          </w:p>
        </w:tc>
        <w:tc>
          <w:tcPr>
            <w:tcW w:w="601" w:type="pct"/>
            <w:vAlign w:val="center"/>
          </w:tcPr>
          <w:p w14:paraId="0E5F9871" w14:textId="77777777" w:rsidR="00EE205A" w:rsidRPr="00640D01" w:rsidRDefault="00EE205A" w:rsidP="00B95FFB">
            <w:pPr>
              <w:pStyle w:val="TableText"/>
              <w:rPr>
                <w:color w:val="7030A0"/>
              </w:rPr>
            </w:pPr>
            <w:r w:rsidRPr="00640D01">
              <w:rPr>
                <w:color w:val="7030A0"/>
              </w:rPr>
              <w:t>12</w:t>
            </w:r>
          </w:p>
        </w:tc>
        <w:tc>
          <w:tcPr>
            <w:tcW w:w="601" w:type="pct"/>
            <w:vAlign w:val="center"/>
          </w:tcPr>
          <w:p w14:paraId="0467EAB7" w14:textId="77777777" w:rsidR="00EE205A" w:rsidRPr="00640D01" w:rsidRDefault="00EE205A" w:rsidP="00B95FFB">
            <w:pPr>
              <w:pStyle w:val="TableText"/>
              <w:rPr>
                <w:color w:val="7030A0"/>
              </w:rPr>
            </w:pPr>
            <w:r w:rsidRPr="00640D01">
              <w:rPr>
                <w:color w:val="7030A0"/>
              </w:rPr>
              <w:t>12</w:t>
            </w:r>
          </w:p>
        </w:tc>
        <w:tc>
          <w:tcPr>
            <w:tcW w:w="601" w:type="pct"/>
            <w:vAlign w:val="center"/>
          </w:tcPr>
          <w:p w14:paraId="21A422C8" w14:textId="77777777" w:rsidR="00EE205A" w:rsidRPr="00640D01" w:rsidRDefault="00EE205A" w:rsidP="00B95FFB">
            <w:pPr>
              <w:pStyle w:val="TableText"/>
              <w:rPr>
                <w:color w:val="7030A0"/>
              </w:rPr>
            </w:pPr>
            <w:r w:rsidRPr="00640D01">
              <w:rPr>
                <w:color w:val="7030A0"/>
              </w:rPr>
              <w:t>12</w:t>
            </w:r>
          </w:p>
        </w:tc>
        <w:tc>
          <w:tcPr>
            <w:tcW w:w="601" w:type="pct"/>
            <w:vAlign w:val="center"/>
          </w:tcPr>
          <w:p w14:paraId="30D72441" w14:textId="77777777" w:rsidR="00EE205A" w:rsidRPr="00640D01" w:rsidRDefault="00EE205A" w:rsidP="00B95FFB">
            <w:pPr>
              <w:pStyle w:val="TableText"/>
              <w:rPr>
                <w:color w:val="7030A0"/>
              </w:rPr>
            </w:pPr>
            <w:r w:rsidRPr="00640D01">
              <w:rPr>
                <w:color w:val="7030A0"/>
              </w:rPr>
              <w:t>21</w:t>
            </w:r>
          </w:p>
        </w:tc>
        <w:tc>
          <w:tcPr>
            <w:tcW w:w="598" w:type="pct"/>
            <w:vAlign w:val="center"/>
          </w:tcPr>
          <w:p w14:paraId="4896A409" w14:textId="77777777" w:rsidR="00EE205A" w:rsidRPr="00640D01" w:rsidRDefault="00EE205A" w:rsidP="00B95FFB">
            <w:pPr>
              <w:pStyle w:val="TableText"/>
              <w:rPr>
                <w:color w:val="7030A0"/>
              </w:rPr>
            </w:pPr>
            <w:r w:rsidRPr="00640D01">
              <w:rPr>
                <w:color w:val="7030A0"/>
              </w:rPr>
              <w:t>21</w:t>
            </w:r>
          </w:p>
        </w:tc>
      </w:tr>
      <w:tr w:rsidR="00EE205A" w:rsidRPr="00640D01" w14:paraId="03C52975" w14:textId="77777777" w:rsidTr="00B95FFB">
        <w:trPr>
          <w:trHeight w:val="317"/>
          <w:jc w:val="center"/>
        </w:trPr>
        <w:tc>
          <w:tcPr>
            <w:tcW w:w="1397" w:type="pct"/>
            <w:vAlign w:val="center"/>
          </w:tcPr>
          <w:p w14:paraId="1B06DBC7" w14:textId="77777777" w:rsidR="00EE205A" w:rsidRPr="00640D01" w:rsidRDefault="00EE205A" w:rsidP="00B95FFB">
            <w:pPr>
              <w:pStyle w:val="TableText"/>
            </w:pPr>
            <w:r w:rsidRPr="00640D01">
              <w:t>Analysis Year</w:t>
            </w:r>
          </w:p>
        </w:tc>
        <w:tc>
          <w:tcPr>
            <w:tcW w:w="601" w:type="pct"/>
            <w:vAlign w:val="center"/>
          </w:tcPr>
          <w:p w14:paraId="712A30CA" w14:textId="77777777" w:rsidR="00EE205A" w:rsidRPr="00640D01" w:rsidRDefault="00EE205A" w:rsidP="00B95FFB">
            <w:pPr>
              <w:pStyle w:val="TableText"/>
              <w:rPr>
                <w:color w:val="7030A0"/>
              </w:rPr>
            </w:pPr>
            <w:r w:rsidRPr="00640D01">
              <w:rPr>
                <w:color w:val="7030A0"/>
              </w:rPr>
              <w:t>2017</w:t>
            </w:r>
          </w:p>
        </w:tc>
        <w:tc>
          <w:tcPr>
            <w:tcW w:w="601" w:type="pct"/>
            <w:vAlign w:val="center"/>
          </w:tcPr>
          <w:p w14:paraId="7A9EAADE" w14:textId="77777777" w:rsidR="00EE205A" w:rsidRPr="00640D01" w:rsidRDefault="00EE205A" w:rsidP="00B95FFB">
            <w:pPr>
              <w:pStyle w:val="TableText"/>
              <w:rPr>
                <w:color w:val="7030A0"/>
              </w:rPr>
            </w:pPr>
            <w:r w:rsidRPr="00640D01">
              <w:rPr>
                <w:color w:val="7030A0"/>
              </w:rPr>
              <w:t>2017</w:t>
            </w:r>
          </w:p>
        </w:tc>
        <w:tc>
          <w:tcPr>
            <w:tcW w:w="601" w:type="pct"/>
            <w:vAlign w:val="center"/>
          </w:tcPr>
          <w:p w14:paraId="340DFFA9" w14:textId="77777777" w:rsidR="00EE205A" w:rsidRPr="00640D01" w:rsidRDefault="00EE205A" w:rsidP="00B95FFB">
            <w:pPr>
              <w:pStyle w:val="TableText"/>
              <w:rPr>
                <w:color w:val="7030A0"/>
              </w:rPr>
            </w:pPr>
            <w:r w:rsidRPr="00640D01">
              <w:rPr>
                <w:color w:val="7030A0"/>
              </w:rPr>
              <w:t>2020+</w:t>
            </w:r>
          </w:p>
        </w:tc>
        <w:tc>
          <w:tcPr>
            <w:tcW w:w="601" w:type="pct"/>
            <w:vAlign w:val="center"/>
          </w:tcPr>
          <w:p w14:paraId="1815B75C" w14:textId="77777777" w:rsidR="00EE205A" w:rsidRPr="00640D01" w:rsidRDefault="00EE205A" w:rsidP="00B95FFB">
            <w:pPr>
              <w:pStyle w:val="TableText"/>
              <w:rPr>
                <w:color w:val="7030A0"/>
              </w:rPr>
            </w:pPr>
            <w:r w:rsidRPr="00640D01">
              <w:rPr>
                <w:color w:val="7030A0"/>
              </w:rPr>
              <w:t>2020+</w:t>
            </w:r>
          </w:p>
        </w:tc>
        <w:tc>
          <w:tcPr>
            <w:tcW w:w="601" w:type="pct"/>
            <w:vAlign w:val="center"/>
          </w:tcPr>
          <w:p w14:paraId="14280A68" w14:textId="77777777" w:rsidR="00EE205A" w:rsidRPr="00640D01" w:rsidRDefault="00EE205A" w:rsidP="00B95FFB">
            <w:pPr>
              <w:pStyle w:val="TableText"/>
              <w:rPr>
                <w:color w:val="7030A0"/>
              </w:rPr>
            </w:pPr>
            <w:r w:rsidRPr="00640D01">
              <w:rPr>
                <w:color w:val="7030A0"/>
              </w:rPr>
              <w:t>2017</w:t>
            </w:r>
          </w:p>
        </w:tc>
        <w:tc>
          <w:tcPr>
            <w:tcW w:w="598" w:type="pct"/>
            <w:vAlign w:val="center"/>
          </w:tcPr>
          <w:p w14:paraId="5F240448" w14:textId="77777777" w:rsidR="00EE205A" w:rsidRPr="00640D01" w:rsidRDefault="00EE205A" w:rsidP="00B95FFB">
            <w:pPr>
              <w:pStyle w:val="TableText"/>
              <w:rPr>
                <w:color w:val="7030A0"/>
              </w:rPr>
            </w:pPr>
            <w:r w:rsidRPr="00640D01">
              <w:rPr>
                <w:color w:val="7030A0"/>
              </w:rPr>
              <w:t>2020+</w:t>
            </w:r>
          </w:p>
        </w:tc>
      </w:tr>
      <w:tr w:rsidR="00EE205A" w:rsidRPr="00640D01" w14:paraId="6CB89494" w14:textId="77777777" w:rsidTr="00B95FFB">
        <w:trPr>
          <w:trHeight w:val="317"/>
          <w:jc w:val="center"/>
        </w:trPr>
        <w:tc>
          <w:tcPr>
            <w:tcW w:w="1397" w:type="pct"/>
            <w:vAlign w:val="center"/>
          </w:tcPr>
          <w:p w14:paraId="3DD4252D" w14:textId="77777777" w:rsidR="00EE205A" w:rsidRPr="00640D01" w:rsidRDefault="00EE205A" w:rsidP="00B95FFB">
            <w:pPr>
              <w:pStyle w:val="TableText"/>
            </w:pPr>
            <w:r w:rsidRPr="00640D01">
              <w:t>Season</w:t>
            </w:r>
          </w:p>
        </w:tc>
        <w:sdt>
          <w:sdtPr>
            <w:rPr>
              <w:color w:val="7030A0"/>
            </w:rPr>
            <w:id w:val="1037246975"/>
            <w:placeholder>
              <w:docPart w:val="2323EE8D28A1423C94BE639C91BAD13F"/>
            </w:placeholder>
            <w:comboBox>
              <w:listItem w:value="Choose an item."/>
              <w:listItem w:displayText="Summer" w:value="Summer"/>
              <w:listItem w:displayText="Winter" w:value="Winter"/>
              <w:listItem w:displayText="Summer and Winter" w:value="Summer and Winter"/>
            </w:comboBox>
          </w:sdtPr>
          <w:sdtContent>
            <w:tc>
              <w:tcPr>
                <w:tcW w:w="601" w:type="pct"/>
                <w:vAlign w:val="center"/>
              </w:tcPr>
              <w:p w14:paraId="0EA3079E" w14:textId="777E6CA4" w:rsidR="00EE205A" w:rsidRPr="00640D01" w:rsidRDefault="00EE205A" w:rsidP="00B95FFB">
                <w:pPr>
                  <w:pStyle w:val="TableText"/>
                  <w:rPr>
                    <w:color w:val="7030A0"/>
                  </w:rPr>
                </w:pPr>
                <w:r w:rsidRPr="00640D01">
                  <w:rPr>
                    <w:color w:val="7030A0"/>
                  </w:rPr>
                  <w:t>Winter</w:t>
                </w:r>
              </w:p>
            </w:tc>
          </w:sdtContent>
        </w:sdt>
        <w:sdt>
          <w:sdtPr>
            <w:rPr>
              <w:color w:val="7030A0"/>
            </w:rPr>
            <w:id w:val="1861541791"/>
            <w:placeholder>
              <w:docPart w:val="3DE0AA6CA79147DF9B2E3C4017AB0C65"/>
            </w:placeholder>
            <w:comboBox>
              <w:listItem w:value="Choose an item."/>
              <w:listItem w:displayText="Summer" w:value="Summer"/>
              <w:listItem w:displayText="Winter" w:value="Winter"/>
              <w:listItem w:displayText="Summer and Winter" w:value="Summer and Winter"/>
            </w:comboBox>
          </w:sdtPr>
          <w:sdtContent>
            <w:tc>
              <w:tcPr>
                <w:tcW w:w="601" w:type="pct"/>
                <w:vAlign w:val="center"/>
              </w:tcPr>
              <w:p w14:paraId="1F67EAD4" w14:textId="0B57BB6C" w:rsidR="00EE205A" w:rsidRPr="00640D01" w:rsidRDefault="00EE205A" w:rsidP="00B95FFB">
                <w:pPr>
                  <w:pStyle w:val="TableText"/>
                  <w:rPr>
                    <w:color w:val="7030A0"/>
                  </w:rPr>
                </w:pPr>
                <w:r w:rsidRPr="00640D01">
                  <w:rPr>
                    <w:color w:val="7030A0"/>
                  </w:rPr>
                  <w:t>Summer</w:t>
                </w:r>
              </w:p>
            </w:tc>
          </w:sdtContent>
        </w:sdt>
        <w:sdt>
          <w:sdtPr>
            <w:rPr>
              <w:color w:val="7030A0"/>
            </w:rPr>
            <w:id w:val="-845318752"/>
            <w:placeholder>
              <w:docPart w:val="D5464EA4DE334E8095DE7F949B4FADFC"/>
            </w:placeholder>
            <w:comboBox>
              <w:listItem w:value="Choose an item."/>
              <w:listItem w:displayText="Summer" w:value="Summer"/>
              <w:listItem w:displayText="Winter" w:value="Winter"/>
              <w:listItem w:displayText="Summer and Winter" w:value="Summer and Winter"/>
            </w:comboBox>
          </w:sdtPr>
          <w:sdtContent>
            <w:tc>
              <w:tcPr>
                <w:tcW w:w="601" w:type="pct"/>
                <w:vAlign w:val="center"/>
              </w:tcPr>
              <w:p w14:paraId="70A883DB" w14:textId="45FB9157" w:rsidR="00EE205A" w:rsidRPr="00640D01" w:rsidRDefault="00EE205A" w:rsidP="00B95FFB">
                <w:pPr>
                  <w:pStyle w:val="TableText"/>
                  <w:rPr>
                    <w:color w:val="7030A0"/>
                  </w:rPr>
                </w:pPr>
                <w:r w:rsidRPr="00640D01">
                  <w:rPr>
                    <w:color w:val="7030A0"/>
                  </w:rPr>
                  <w:t>Winter</w:t>
                </w:r>
              </w:p>
            </w:tc>
          </w:sdtContent>
        </w:sdt>
        <w:sdt>
          <w:sdtPr>
            <w:rPr>
              <w:color w:val="7030A0"/>
            </w:rPr>
            <w:id w:val="-679813779"/>
            <w:placeholder>
              <w:docPart w:val="E5EEC16F6E89429CA81EF3CEC6896693"/>
            </w:placeholder>
            <w:comboBox>
              <w:listItem w:value="Choose an item."/>
              <w:listItem w:displayText="Summer" w:value="Summer"/>
              <w:listItem w:displayText="Winter" w:value="Winter"/>
              <w:listItem w:displayText="Summer and Winter" w:value="Summer and Winter"/>
            </w:comboBox>
          </w:sdtPr>
          <w:sdtContent>
            <w:tc>
              <w:tcPr>
                <w:tcW w:w="601" w:type="pct"/>
                <w:vAlign w:val="center"/>
              </w:tcPr>
              <w:p w14:paraId="0BD75548" w14:textId="68C97E52" w:rsidR="00EE205A" w:rsidRPr="00640D01" w:rsidRDefault="00EE205A" w:rsidP="00B95FFB">
                <w:pPr>
                  <w:pStyle w:val="TableText"/>
                  <w:rPr>
                    <w:color w:val="7030A0"/>
                  </w:rPr>
                </w:pPr>
                <w:r w:rsidRPr="00640D01">
                  <w:rPr>
                    <w:color w:val="7030A0"/>
                  </w:rPr>
                  <w:t>Summer</w:t>
                </w:r>
              </w:p>
            </w:tc>
          </w:sdtContent>
        </w:sdt>
        <w:sdt>
          <w:sdtPr>
            <w:rPr>
              <w:color w:val="7030A0"/>
            </w:rPr>
            <w:id w:val="-2050287217"/>
            <w:placeholder>
              <w:docPart w:val="B7D34D876E4D4E0AB798D91574C5EE8F"/>
            </w:placeholder>
            <w:comboBox>
              <w:listItem w:value="Choose an item."/>
              <w:listItem w:displayText="Summer" w:value="Summer"/>
              <w:listItem w:displayText="Winter" w:value="Winter"/>
              <w:listItem w:displayText="Summer and winter" w:value="Summer and winter"/>
            </w:comboBox>
          </w:sdtPr>
          <w:sdtContent>
            <w:tc>
              <w:tcPr>
                <w:tcW w:w="601" w:type="pct"/>
                <w:vAlign w:val="center"/>
              </w:tcPr>
              <w:p w14:paraId="5EEF7436" w14:textId="092762A7" w:rsidR="00EE205A" w:rsidRPr="00640D01" w:rsidRDefault="00EE205A" w:rsidP="00B95FFB">
                <w:pPr>
                  <w:pStyle w:val="TableText"/>
                  <w:rPr>
                    <w:color w:val="7030A0"/>
                  </w:rPr>
                </w:pPr>
                <w:r w:rsidRPr="00640D01">
                  <w:rPr>
                    <w:color w:val="7030A0"/>
                  </w:rPr>
                  <w:t>Summer and Winter</w:t>
                </w:r>
              </w:p>
            </w:tc>
          </w:sdtContent>
        </w:sdt>
        <w:sdt>
          <w:sdtPr>
            <w:rPr>
              <w:color w:val="7030A0"/>
            </w:rPr>
            <w:id w:val="85664315"/>
            <w:placeholder>
              <w:docPart w:val="EBF0740D24B3491C84651B7AF792312E"/>
            </w:placeholder>
            <w:comboBox>
              <w:listItem w:value="Choose an item."/>
              <w:listItem w:displayText="Summer" w:value="Summer"/>
              <w:listItem w:displayText="Winter" w:value="Winter"/>
              <w:listItem w:displayText="Summer and winter" w:value="Summer and winter"/>
            </w:comboBox>
          </w:sdtPr>
          <w:sdtContent>
            <w:tc>
              <w:tcPr>
                <w:tcW w:w="598" w:type="pct"/>
                <w:vAlign w:val="center"/>
              </w:tcPr>
              <w:p w14:paraId="234A1948" w14:textId="7AE89FD4" w:rsidR="00EE205A" w:rsidRPr="00640D01" w:rsidRDefault="00EE205A" w:rsidP="00B95FFB">
                <w:pPr>
                  <w:pStyle w:val="TableText"/>
                  <w:rPr>
                    <w:color w:val="7030A0"/>
                  </w:rPr>
                </w:pPr>
                <w:r w:rsidRPr="00640D01">
                  <w:rPr>
                    <w:color w:val="7030A0"/>
                  </w:rPr>
                  <w:t>Summer and Winter</w:t>
                </w:r>
              </w:p>
            </w:tc>
          </w:sdtContent>
        </w:sdt>
      </w:tr>
      <w:tr w:rsidR="00EE205A" w:rsidRPr="00640D01" w14:paraId="1786DA1A" w14:textId="77777777" w:rsidTr="00B95FFB">
        <w:trPr>
          <w:trHeight w:val="317"/>
          <w:jc w:val="center"/>
        </w:trPr>
        <w:tc>
          <w:tcPr>
            <w:tcW w:w="1397" w:type="pct"/>
            <w:vAlign w:val="center"/>
          </w:tcPr>
          <w:p w14:paraId="0028DF2A" w14:textId="77777777" w:rsidR="00EE205A" w:rsidRPr="00640D01" w:rsidRDefault="00EE205A" w:rsidP="00B95FFB">
            <w:pPr>
              <w:pStyle w:val="TableText"/>
            </w:pPr>
            <w:r w:rsidRPr="00640D01">
              <w:t>RVP</w:t>
            </w:r>
          </w:p>
        </w:tc>
        <w:tc>
          <w:tcPr>
            <w:tcW w:w="601" w:type="pct"/>
            <w:vAlign w:val="center"/>
          </w:tcPr>
          <w:p w14:paraId="3B06093A" w14:textId="77777777" w:rsidR="00EE205A" w:rsidRPr="00640D01" w:rsidRDefault="00EE205A" w:rsidP="00B95FFB">
            <w:pPr>
              <w:pStyle w:val="TableText"/>
              <w:rPr>
                <w:color w:val="7030A0"/>
              </w:rPr>
            </w:pPr>
            <w:r w:rsidRPr="00640D01">
              <w:rPr>
                <w:color w:val="7030A0"/>
              </w:rPr>
              <w:t>11.36</w:t>
            </w:r>
          </w:p>
        </w:tc>
        <w:tc>
          <w:tcPr>
            <w:tcW w:w="601" w:type="pct"/>
            <w:vAlign w:val="center"/>
          </w:tcPr>
          <w:p w14:paraId="719CCE09" w14:textId="77777777" w:rsidR="00EE205A" w:rsidRPr="00640D01" w:rsidRDefault="00EE205A" w:rsidP="00B95FFB">
            <w:pPr>
              <w:pStyle w:val="TableText"/>
              <w:rPr>
                <w:color w:val="7030A0"/>
              </w:rPr>
            </w:pPr>
            <w:r w:rsidRPr="00640D01">
              <w:rPr>
                <w:color w:val="7030A0"/>
              </w:rPr>
              <w:t>6.94</w:t>
            </w:r>
          </w:p>
        </w:tc>
        <w:tc>
          <w:tcPr>
            <w:tcW w:w="601" w:type="pct"/>
            <w:vAlign w:val="center"/>
          </w:tcPr>
          <w:p w14:paraId="279920F0" w14:textId="77777777" w:rsidR="00EE205A" w:rsidRPr="00640D01" w:rsidRDefault="00EE205A" w:rsidP="00B95FFB">
            <w:pPr>
              <w:pStyle w:val="TableText"/>
              <w:rPr>
                <w:color w:val="7030A0"/>
              </w:rPr>
            </w:pPr>
            <w:r w:rsidRPr="00640D01">
              <w:rPr>
                <w:color w:val="7030A0"/>
              </w:rPr>
              <w:t>11.36</w:t>
            </w:r>
          </w:p>
        </w:tc>
        <w:tc>
          <w:tcPr>
            <w:tcW w:w="601" w:type="pct"/>
            <w:vAlign w:val="center"/>
          </w:tcPr>
          <w:p w14:paraId="38915FCB" w14:textId="77777777" w:rsidR="00EE205A" w:rsidRPr="00640D01" w:rsidRDefault="00EE205A" w:rsidP="00B95FFB">
            <w:pPr>
              <w:pStyle w:val="TableText"/>
              <w:rPr>
                <w:color w:val="7030A0"/>
              </w:rPr>
            </w:pPr>
            <w:r w:rsidRPr="00640D01">
              <w:rPr>
                <w:color w:val="7030A0"/>
              </w:rPr>
              <w:t>7.00</w:t>
            </w:r>
          </w:p>
        </w:tc>
        <w:tc>
          <w:tcPr>
            <w:tcW w:w="601" w:type="pct"/>
            <w:vAlign w:val="center"/>
          </w:tcPr>
          <w:p w14:paraId="3C14C8F6" w14:textId="77777777" w:rsidR="00EE205A" w:rsidRPr="00640D01" w:rsidRDefault="00EE205A" w:rsidP="00B95FFB">
            <w:pPr>
              <w:pStyle w:val="TableText"/>
              <w:rPr>
                <w:color w:val="7030A0"/>
              </w:rPr>
            </w:pPr>
            <w:r w:rsidRPr="00640D01">
              <w:rPr>
                <w:color w:val="7030A0"/>
              </w:rPr>
              <w:t>0</w:t>
            </w:r>
          </w:p>
        </w:tc>
        <w:tc>
          <w:tcPr>
            <w:tcW w:w="598" w:type="pct"/>
            <w:vAlign w:val="center"/>
          </w:tcPr>
          <w:p w14:paraId="046E5385" w14:textId="77777777" w:rsidR="00EE205A" w:rsidRPr="00640D01" w:rsidRDefault="00EE205A" w:rsidP="00B95FFB">
            <w:pPr>
              <w:pStyle w:val="TableText"/>
              <w:rPr>
                <w:color w:val="7030A0"/>
              </w:rPr>
            </w:pPr>
            <w:r w:rsidRPr="00640D01">
              <w:rPr>
                <w:color w:val="7030A0"/>
              </w:rPr>
              <w:t>0</w:t>
            </w:r>
          </w:p>
        </w:tc>
      </w:tr>
      <w:tr w:rsidR="00EE205A" w:rsidRPr="00640D01" w14:paraId="52A0AF64" w14:textId="77777777" w:rsidTr="00B95FFB">
        <w:trPr>
          <w:trHeight w:val="317"/>
          <w:jc w:val="center"/>
        </w:trPr>
        <w:tc>
          <w:tcPr>
            <w:tcW w:w="1397" w:type="pct"/>
            <w:vAlign w:val="center"/>
          </w:tcPr>
          <w:p w14:paraId="2B69E78C" w14:textId="77777777" w:rsidR="00EE205A" w:rsidRPr="00640D01" w:rsidRDefault="00EE205A" w:rsidP="00B95FFB">
            <w:pPr>
              <w:pStyle w:val="TableText"/>
            </w:pPr>
            <w:r w:rsidRPr="00640D01">
              <w:t>Sulfur Level</w:t>
            </w:r>
          </w:p>
        </w:tc>
        <w:tc>
          <w:tcPr>
            <w:tcW w:w="601" w:type="pct"/>
            <w:vAlign w:val="center"/>
          </w:tcPr>
          <w:p w14:paraId="18E4A002" w14:textId="77777777" w:rsidR="00EE205A" w:rsidRPr="00640D01" w:rsidRDefault="00EE205A" w:rsidP="00B95FFB">
            <w:pPr>
              <w:pStyle w:val="TableText"/>
              <w:rPr>
                <w:color w:val="7030A0"/>
              </w:rPr>
            </w:pPr>
            <w:r w:rsidRPr="00640D01">
              <w:rPr>
                <w:color w:val="7030A0"/>
              </w:rPr>
              <w:t>19.39</w:t>
            </w:r>
          </w:p>
        </w:tc>
        <w:tc>
          <w:tcPr>
            <w:tcW w:w="601" w:type="pct"/>
            <w:vAlign w:val="center"/>
          </w:tcPr>
          <w:p w14:paraId="15DB1E68" w14:textId="77777777" w:rsidR="00EE205A" w:rsidRPr="00640D01" w:rsidRDefault="00EE205A" w:rsidP="00B95FFB">
            <w:pPr>
              <w:pStyle w:val="TableText"/>
              <w:rPr>
                <w:color w:val="7030A0"/>
              </w:rPr>
            </w:pPr>
            <w:r w:rsidRPr="00640D01">
              <w:rPr>
                <w:color w:val="7030A0"/>
              </w:rPr>
              <w:t>19.56</w:t>
            </w:r>
          </w:p>
        </w:tc>
        <w:tc>
          <w:tcPr>
            <w:tcW w:w="601" w:type="pct"/>
            <w:vAlign w:val="center"/>
          </w:tcPr>
          <w:p w14:paraId="122A3FAB" w14:textId="77777777" w:rsidR="00EE205A" w:rsidRPr="00640D01" w:rsidRDefault="00EE205A" w:rsidP="00B95FFB">
            <w:pPr>
              <w:pStyle w:val="TableText"/>
              <w:rPr>
                <w:color w:val="7030A0"/>
              </w:rPr>
            </w:pPr>
            <w:r w:rsidRPr="00640D01">
              <w:rPr>
                <w:color w:val="7030A0"/>
              </w:rPr>
              <w:t>10.00</w:t>
            </w:r>
          </w:p>
        </w:tc>
        <w:tc>
          <w:tcPr>
            <w:tcW w:w="601" w:type="pct"/>
            <w:vAlign w:val="center"/>
          </w:tcPr>
          <w:p w14:paraId="79D94C53" w14:textId="77777777" w:rsidR="00EE205A" w:rsidRPr="00640D01" w:rsidRDefault="00EE205A" w:rsidP="00B95FFB">
            <w:pPr>
              <w:pStyle w:val="TableText"/>
              <w:rPr>
                <w:color w:val="7030A0"/>
              </w:rPr>
            </w:pPr>
            <w:r w:rsidRPr="00640D01">
              <w:rPr>
                <w:color w:val="7030A0"/>
              </w:rPr>
              <w:t>10.00</w:t>
            </w:r>
          </w:p>
        </w:tc>
        <w:tc>
          <w:tcPr>
            <w:tcW w:w="601" w:type="pct"/>
            <w:vAlign w:val="center"/>
          </w:tcPr>
          <w:p w14:paraId="2051F7C0" w14:textId="77777777" w:rsidR="00EE205A" w:rsidRPr="00640D01" w:rsidRDefault="00EE205A" w:rsidP="00B95FFB">
            <w:pPr>
              <w:pStyle w:val="TableText"/>
              <w:rPr>
                <w:color w:val="7030A0"/>
              </w:rPr>
            </w:pPr>
            <w:r w:rsidRPr="00640D01">
              <w:rPr>
                <w:color w:val="7030A0"/>
              </w:rPr>
              <w:t>6.37</w:t>
            </w:r>
          </w:p>
        </w:tc>
        <w:tc>
          <w:tcPr>
            <w:tcW w:w="598" w:type="pct"/>
            <w:vAlign w:val="center"/>
          </w:tcPr>
          <w:p w14:paraId="039A544D" w14:textId="77777777" w:rsidR="00EE205A" w:rsidRPr="00640D01" w:rsidRDefault="00EE205A" w:rsidP="00B95FFB">
            <w:pPr>
              <w:pStyle w:val="TableText"/>
              <w:rPr>
                <w:color w:val="7030A0"/>
              </w:rPr>
            </w:pPr>
            <w:r w:rsidRPr="00640D01">
              <w:rPr>
                <w:color w:val="7030A0"/>
              </w:rPr>
              <w:t>6.00</w:t>
            </w:r>
          </w:p>
        </w:tc>
      </w:tr>
      <w:tr w:rsidR="00EE205A" w:rsidRPr="00640D01" w14:paraId="46E42079" w14:textId="77777777" w:rsidTr="00B95FFB">
        <w:trPr>
          <w:trHeight w:val="317"/>
          <w:jc w:val="center"/>
        </w:trPr>
        <w:tc>
          <w:tcPr>
            <w:tcW w:w="1397" w:type="pct"/>
            <w:vAlign w:val="center"/>
          </w:tcPr>
          <w:p w14:paraId="7975699D" w14:textId="77777777" w:rsidR="00EE205A" w:rsidRPr="00640D01" w:rsidRDefault="00EE205A" w:rsidP="00B95FFB">
            <w:pPr>
              <w:pStyle w:val="TableText"/>
            </w:pPr>
            <w:r w:rsidRPr="00640D01">
              <w:t>ETOH Volume</w:t>
            </w:r>
          </w:p>
        </w:tc>
        <w:tc>
          <w:tcPr>
            <w:tcW w:w="601" w:type="pct"/>
            <w:vAlign w:val="center"/>
          </w:tcPr>
          <w:p w14:paraId="2861A785" w14:textId="77777777" w:rsidR="00EE205A" w:rsidRPr="00640D01" w:rsidRDefault="00EE205A" w:rsidP="00B95FFB">
            <w:pPr>
              <w:pStyle w:val="TableText"/>
              <w:rPr>
                <w:color w:val="7030A0"/>
              </w:rPr>
            </w:pPr>
            <w:r w:rsidRPr="00640D01">
              <w:rPr>
                <w:color w:val="7030A0"/>
              </w:rPr>
              <w:t>10.00</w:t>
            </w:r>
          </w:p>
        </w:tc>
        <w:tc>
          <w:tcPr>
            <w:tcW w:w="601" w:type="pct"/>
            <w:vAlign w:val="center"/>
          </w:tcPr>
          <w:p w14:paraId="456459FB" w14:textId="77777777" w:rsidR="00EE205A" w:rsidRPr="00640D01" w:rsidRDefault="00EE205A" w:rsidP="00B95FFB">
            <w:pPr>
              <w:pStyle w:val="TableText"/>
              <w:rPr>
                <w:color w:val="7030A0"/>
              </w:rPr>
            </w:pPr>
            <w:r w:rsidRPr="00640D01">
              <w:rPr>
                <w:color w:val="7030A0"/>
              </w:rPr>
              <w:t>9.6</w:t>
            </w:r>
          </w:p>
        </w:tc>
        <w:tc>
          <w:tcPr>
            <w:tcW w:w="601" w:type="pct"/>
            <w:vAlign w:val="center"/>
          </w:tcPr>
          <w:p w14:paraId="35DCC2A8" w14:textId="77777777" w:rsidR="00EE205A" w:rsidRPr="00640D01" w:rsidRDefault="00EE205A" w:rsidP="00B95FFB">
            <w:pPr>
              <w:pStyle w:val="TableText"/>
              <w:rPr>
                <w:color w:val="7030A0"/>
              </w:rPr>
            </w:pPr>
            <w:r w:rsidRPr="00640D01">
              <w:rPr>
                <w:color w:val="7030A0"/>
              </w:rPr>
              <w:t>10.00</w:t>
            </w:r>
          </w:p>
        </w:tc>
        <w:tc>
          <w:tcPr>
            <w:tcW w:w="601" w:type="pct"/>
            <w:vAlign w:val="center"/>
          </w:tcPr>
          <w:p w14:paraId="71248404" w14:textId="77777777" w:rsidR="00EE205A" w:rsidRPr="00640D01" w:rsidRDefault="00EE205A" w:rsidP="00B95FFB">
            <w:pPr>
              <w:pStyle w:val="TableText"/>
              <w:rPr>
                <w:color w:val="7030A0"/>
              </w:rPr>
            </w:pPr>
            <w:r w:rsidRPr="00640D01">
              <w:rPr>
                <w:color w:val="7030A0"/>
              </w:rPr>
              <w:t>9.50</w:t>
            </w:r>
          </w:p>
        </w:tc>
        <w:tc>
          <w:tcPr>
            <w:tcW w:w="601" w:type="pct"/>
            <w:vAlign w:val="center"/>
          </w:tcPr>
          <w:p w14:paraId="20E97741" w14:textId="77777777" w:rsidR="00EE205A" w:rsidRPr="00640D01" w:rsidRDefault="00EE205A" w:rsidP="00B95FFB">
            <w:pPr>
              <w:pStyle w:val="TableText"/>
              <w:rPr>
                <w:color w:val="7030A0"/>
              </w:rPr>
            </w:pPr>
            <w:r w:rsidRPr="00640D01">
              <w:rPr>
                <w:color w:val="7030A0"/>
              </w:rPr>
              <w:t>0</w:t>
            </w:r>
          </w:p>
        </w:tc>
        <w:tc>
          <w:tcPr>
            <w:tcW w:w="598" w:type="pct"/>
            <w:vAlign w:val="center"/>
          </w:tcPr>
          <w:p w14:paraId="3790BE5F" w14:textId="77777777" w:rsidR="00EE205A" w:rsidRPr="00640D01" w:rsidRDefault="00EE205A" w:rsidP="00B95FFB">
            <w:pPr>
              <w:pStyle w:val="TableText"/>
              <w:rPr>
                <w:color w:val="7030A0"/>
              </w:rPr>
            </w:pPr>
            <w:r w:rsidRPr="00640D01">
              <w:rPr>
                <w:color w:val="7030A0"/>
              </w:rPr>
              <w:t>0</w:t>
            </w:r>
          </w:p>
        </w:tc>
      </w:tr>
      <w:tr w:rsidR="00EE205A" w:rsidRPr="00640D01" w14:paraId="6D301627" w14:textId="77777777" w:rsidTr="00B95FFB">
        <w:trPr>
          <w:trHeight w:val="317"/>
          <w:jc w:val="center"/>
        </w:trPr>
        <w:tc>
          <w:tcPr>
            <w:tcW w:w="1397" w:type="pct"/>
            <w:vAlign w:val="center"/>
          </w:tcPr>
          <w:p w14:paraId="38BE9341" w14:textId="77777777" w:rsidR="00EE205A" w:rsidRPr="00640D01" w:rsidRDefault="00EE205A" w:rsidP="00B95FFB">
            <w:pPr>
              <w:pStyle w:val="TableText"/>
            </w:pPr>
            <w:r w:rsidRPr="00640D01">
              <w:t>MTBE Volume</w:t>
            </w:r>
          </w:p>
        </w:tc>
        <w:tc>
          <w:tcPr>
            <w:tcW w:w="601" w:type="pct"/>
            <w:vAlign w:val="center"/>
          </w:tcPr>
          <w:p w14:paraId="02240187" w14:textId="77777777" w:rsidR="00EE205A" w:rsidRPr="00640D01" w:rsidRDefault="00EE205A" w:rsidP="00B95FFB">
            <w:pPr>
              <w:pStyle w:val="TableText"/>
              <w:rPr>
                <w:color w:val="7030A0"/>
              </w:rPr>
            </w:pPr>
            <w:r w:rsidRPr="00640D01">
              <w:rPr>
                <w:color w:val="7030A0"/>
              </w:rPr>
              <w:t>0</w:t>
            </w:r>
          </w:p>
        </w:tc>
        <w:tc>
          <w:tcPr>
            <w:tcW w:w="601" w:type="pct"/>
            <w:vAlign w:val="center"/>
          </w:tcPr>
          <w:p w14:paraId="3A5B5483" w14:textId="77777777" w:rsidR="00EE205A" w:rsidRPr="00640D01" w:rsidRDefault="00EE205A" w:rsidP="00B95FFB">
            <w:pPr>
              <w:pStyle w:val="TableText"/>
              <w:rPr>
                <w:color w:val="7030A0"/>
              </w:rPr>
            </w:pPr>
            <w:r w:rsidRPr="00640D01">
              <w:rPr>
                <w:color w:val="7030A0"/>
              </w:rPr>
              <w:t>0</w:t>
            </w:r>
          </w:p>
        </w:tc>
        <w:tc>
          <w:tcPr>
            <w:tcW w:w="601" w:type="pct"/>
            <w:vAlign w:val="center"/>
          </w:tcPr>
          <w:p w14:paraId="5CC5EF78" w14:textId="77777777" w:rsidR="00EE205A" w:rsidRPr="00640D01" w:rsidRDefault="00EE205A" w:rsidP="00B95FFB">
            <w:pPr>
              <w:pStyle w:val="TableText"/>
              <w:rPr>
                <w:color w:val="7030A0"/>
              </w:rPr>
            </w:pPr>
            <w:r w:rsidRPr="00640D01">
              <w:rPr>
                <w:color w:val="7030A0"/>
              </w:rPr>
              <w:t>0</w:t>
            </w:r>
          </w:p>
        </w:tc>
        <w:tc>
          <w:tcPr>
            <w:tcW w:w="601" w:type="pct"/>
            <w:vAlign w:val="center"/>
          </w:tcPr>
          <w:p w14:paraId="3080C32F" w14:textId="77777777" w:rsidR="00EE205A" w:rsidRPr="00640D01" w:rsidRDefault="00EE205A" w:rsidP="00B95FFB">
            <w:pPr>
              <w:pStyle w:val="TableText"/>
              <w:rPr>
                <w:color w:val="7030A0"/>
              </w:rPr>
            </w:pPr>
            <w:r w:rsidRPr="00640D01">
              <w:rPr>
                <w:color w:val="7030A0"/>
              </w:rPr>
              <w:t>0.00</w:t>
            </w:r>
          </w:p>
        </w:tc>
        <w:tc>
          <w:tcPr>
            <w:tcW w:w="601" w:type="pct"/>
            <w:vAlign w:val="center"/>
          </w:tcPr>
          <w:p w14:paraId="56CCADD3" w14:textId="77777777" w:rsidR="00EE205A" w:rsidRPr="00640D01" w:rsidRDefault="00EE205A" w:rsidP="00B95FFB">
            <w:pPr>
              <w:pStyle w:val="TableText"/>
              <w:rPr>
                <w:color w:val="7030A0"/>
              </w:rPr>
            </w:pPr>
            <w:r w:rsidRPr="00640D01">
              <w:rPr>
                <w:color w:val="7030A0"/>
              </w:rPr>
              <w:t>0</w:t>
            </w:r>
          </w:p>
        </w:tc>
        <w:tc>
          <w:tcPr>
            <w:tcW w:w="598" w:type="pct"/>
            <w:vAlign w:val="center"/>
          </w:tcPr>
          <w:p w14:paraId="053569FF" w14:textId="77777777" w:rsidR="00EE205A" w:rsidRPr="00640D01" w:rsidRDefault="00EE205A" w:rsidP="00B95FFB">
            <w:pPr>
              <w:pStyle w:val="TableText"/>
              <w:rPr>
                <w:color w:val="7030A0"/>
              </w:rPr>
            </w:pPr>
            <w:r w:rsidRPr="00640D01">
              <w:rPr>
                <w:color w:val="7030A0"/>
              </w:rPr>
              <w:t>0</w:t>
            </w:r>
          </w:p>
        </w:tc>
      </w:tr>
      <w:tr w:rsidR="00EE205A" w:rsidRPr="00640D01" w14:paraId="5C38FE87" w14:textId="77777777" w:rsidTr="00B95FFB">
        <w:trPr>
          <w:trHeight w:val="317"/>
          <w:jc w:val="center"/>
        </w:trPr>
        <w:tc>
          <w:tcPr>
            <w:tcW w:w="1397" w:type="pct"/>
            <w:vAlign w:val="center"/>
          </w:tcPr>
          <w:p w14:paraId="68CED10C" w14:textId="77777777" w:rsidR="00EE205A" w:rsidRPr="00640D01" w:rsidRDefault="00EE205A" w:rsidP="00B95FFB">
            <w:pPr>
              <w:pStyle w:val="TableText"/>
            </w:pPr>
            <w:r w:rsidRPr="00640D01">
              <w:t>ETBE Volume</w:t>
            </w:r>
          </w:p>
        </w:tc>
        <w:tc>
          <w:tcPr>
            <w:tcW w:w="601" w:type="pct"/>
            <w:vAlign w:val="center"/>
          </w:tcPr>
          <w:p w14:paraId="6136B55D" w14:textId="77777777" w:rsidR="00EE205A" w:rsidRPr="00640D01" w:rsidRDefault="00EE205A" w:rsidP="00B95FFB">
            <w:pPr>
              <w:pStyle w:val="TableText"/>
              <w:rPr>
                <w:color w:val="7030A0"/>
              </w:rPr>
            </w:pPr>
            <w:r w:rsidRPr="00640D01">
              <w:rPr>
                <w:color w:val="7030A0"/>
              </w:rPr>
              <w:t>0</w:t>
            </w:r>
          </w:p>
        </w:tc>
        <w:tc>
          <w:tcPr>
            <w:tcW w:w="601" w:type="pct"/>
            <w:vAlign w:val="center"/>
          </w:tcPr>
          <w:p w14:paraId="0AD8A23B" w14:textId="77777777" w:rsidR="00EE205A" w:rsidRPr="00640D01" w:rsidRDefault="00EE205A" w:rsidP="00B95FFB">
            <w:pPr>
              <w:pStyle w:val="TableText"/>
              <w:rPr>
                <w:color w:val="7030A0"/>
              </w:rPr>
            </w:pPr>
            <w:r w:rsidRPr="00640D01">
              <w:rPr>
                <w:color w:val="7030A0"/>
              </w:rPr>
              <w:t>0</w:t>
            </w:r>
          </w:p>
        </w:tc>
        <w:tc>
          <w:tcPr>
            <w:tcW w:w="601" w:type="pct"/>
            <w:vAlign w:val="center"/>
          </w:tcPr>
          <w:p w14:paraId="33D4650F" w14:textId="77777777" w:rsidR="00EE205A" w:rsidRPr="00640D01" w:rsidRDefault="00EE205A" w:rsidP="00B95FFB">
            <w:pPr>
              <w:pStyle w:val="TableText"/>
              <w:rPr>
                <w:color w:val="7030A0"/>
              </w:rPr>
            </w:pPr>
            <w:r w:rsidRPr="00640D01">
              <w:rPr>
                <w:color w:val="7030A0"/>
              </w:rPr>
              <w:t>0</w:t>
            </w:r>
          </w:p>
        </w:tc>
        <w:tc>
          <w:tcPr>
            <w:tcW w:w="601" w:type="pct"/>
            <w:vAlign w:val="center"/>
          </w:tcPr>
          <w:p w14:paraId="7635D00E" w14:textId="77777777" w:rsidR="00EE205A" w:rsidRPr="00640D01" w:rsidRDefault="00EE205A" w:rsidP="00B95FFB">
            <w:pPr>
              <w:pStyle w:val="TableText"/>
              <w:rPr>
                <w:color w:val="7030A0"/>
              </w:rPr>
            </w:pPr>
            <w:r w:rsidRPr="00640D01">
              <w:rPr>
                <w:color w:val="7030A0"/>
              </w:rPr>
              <w:t>0.00</w:t>
            </w:r>
          </w:p>
        </w:tc>
        <w:tc>
          <w:tcPr>
            <w:tcW w:w="601" w:type="pct"/>
            <w:vAlign w:val="center"/>
          </w:tcPr>
          <w:p w14:paraId="097BA09A" w14:textId="77777777" w:rsidR="00EE205A" w:rsidRPr="00640D01" w:rsidRDefault="00EE205A" w:rsidP="00B95FFB">
            <w:pPr>
              <w:pStyle w:val="TableText"/>
              <w:rPr>
                <w:color w:val="7030A0"/>
              </w:rPr>
            </w:pPr>
            <w:r w:rsidRPr="00640D01">
              <w:rPr>
                <w:color w:val="7030A0"/>
              </w:rPr>
              <w:t>0</w:t>
            </w:r>
          </w:p>
        </w:tc>
        <w:tc>
          <w:tcPr>
            <w:tcW w:w="598" w:type="pct"/>
            <w:vAlign w:val="center"/>
          </w:tcPr>
          <w:p w14:paraId="66CCDCA1" w14:textId="77777777" w:rsidR="00EE205A" w:rsidRPr="00640D01" w:rsidRDefault="00EE205A" w:rsidP="00B95FFB">
            <w:pPr>
              <w:pStyle w:val="TableText"/>
              <w:rPr>
                <w:color w:val="7030A0"/>
              </w:rPr>
            </w:pPr>
            <w:r w:rsidRPr="00640D01">
              <w:rPr>
                <w:color w:val="7030A0"/>
              </w:rPr>
              <w:t>0</w:t>
            </w:r>
          </w:p>
        </w:tc>
      </w:tr>
      <w:tr w:rsidR="00EE205A" w:rsidRPr="00640D01" w14:paraId="6E4C3C29" w14:textId="77777777" w:rsidTr="00B95FFB">
        <w:trPr>
          <w:trHeight w:val="317"/>
          <w:jc w:val="center"/>
        </w:trPr>
        <w:tc>
          <w:tcPr>
            <w:tcW w:w="1397" w:type="pct"/>
            <w:vAlign w:val="center"/>
          </w:tcPr>
          <w:p w14:paraId="11896C6B" w14:textId="77777777" w:rsidR="00EE205A" w:rsidRPr="00640D01" w:rsidRDefault="00EE205A" w:rsidP="00B95FFB">
            <w:pPr>
              <w:pStyle w:val="TableText"/>
            </w:pPr>
            <w:r w:rsidRPr="00640D01">
              <w:t>TAME Volume</w:t>
            </w:r>
          </w:p>
        </w:tc>
        <w:tc>
          <w:tcPr>
            <w:tcW w:w="601" w:type="pct"/>
            <w:vAlign w:val="center"/>
          </w:tcPr>
          <w:p w14:paraId="60110382" w14:textId="77777777" w:rsidR="00EE205A" w:rsidRPr="00640D01" w:rsidRDefault="00EE205A" w:rsidP="00B95FFB">
            <w:pPr>
              <w:pStyle w:val="TableText"/>
              <w:rPr>
                <w:color w:val="7030A0"/>
              </w:rPr>
            </w:pPr>
            <w:r w:rsidRPr="00640D01">
              <w:rPr>
                <w:color w:val="7030A0"/>
              </w:rPr>
              <w:t>0</w:t>
            </w:r>
          </w:p>
        </w:tc>
        <w:tc>
          <w:tcPr>
            <w:tcW w:w="601" w:type="pct"/>
            <w:vAlign w:val="center"/>
          </w:tcPr>
          <w:p w14:paraId="07C08CBD" w14:textId="77777777" w:rsidR="00EE205A" w:rsidRPr="00640D01" w:rsidRDefault="00EE205A" w:rsidP="00B95FFB">
            <w:pPr>
              <w:pStyle w:val="TableText"/>
              <w:rPr>
                <w:color w:val="7030A0"/>
              </w:rPr>
            </w:pPr>
            <w:r w:rsidRPr="00640D01">
              <w:rPr>
                <w:color w:val="7030A0"/>
              </w:rPr>
              <w:t>0</w:t>
            </w:r>
          </w:p>
        </w:tc>
        <w:tc>
          <w:tcPr>
            <w:tcW w:w="601" w:type="pct"/>
            <w:vAlign w:val="center"/>
          </w:tcPr>
          <w:p w14:paraId="00E3E177" w14:textId="77777777" w:rsidR="00EE205A" w:rsidRPr="00640D01" w:rsidRDefault="00EE205A" w:rsidP="00B95FFB">
            <w:pPr>
              <w:pStyle w:val="TableText"/>
              <w:rPr>
                <w:color w:val="7030A0"/>
              </w:rPr>
            </w:pPr>
            <w:r w:rsidRPr="00640D01">
              <w:rPr>
                <w:color w:val="7030A0"/>
              </w:rPr>
              <w:t>0</w:t>
            </w:r>
          </w:p>
        </w:tc>
        <w:tc>
          <w:tcPr>
            <w:tcW w:w="601" w:type="pct"/>
            <w:vAlign w:val="center"/>
          </w:tcPr>
          <w:p w14:paraId="414D4B8D" w14:textId="77777777" w:rsidR="00EE205A" w:rsidRPr="00640D01" w:rsidRDefault="00EE205A" w:rsidP="00B95FFB">
            <w:pPr>
              <w:pStyle w:val="TableText"/>
              <w:rPr>
                <w:color w:val="7030A0"/>
              </w:rPr>
            </w:pPr>
            <w:r w:rsidRPr="00640D01">
              <w:rPr>
                <w:color w:val="7030A0"/>
              </w:rPr>
              <w:t>0.00</w:t>
            </w:r>
          </w:p>
        </w:tc>
        <w:tc>
          <w:tcPr>
            <w:tcW w:w="601" w:type="pct"/>
            <w:vAlign w:val="center"/>
          </w:tcPr>
          <w:p w14:paraId="4D583857" w14:textId="77777777" w:rsidR="00EE205A" w:rsidRPr="00640D01" w:rsidRDefault="00EE205A" w:rsidP="00B95FFB">
            <w:pPr>
              <w:pStyle w:val="TableText"/>
              <w:rPr>
                <w:color w:val="7030A0"/>
              </w:rPr>
            </w:pPr>
            <w:r w:rsidRPr="00640D01">
              <w:rPr>
                <w:color w:val="7030A0"/>
              </w:rPr>
              <w:t>0</w:t>
            </w:r>
          </w:p>
        </w:tc>
        <w:tc>
          <w:tcPr>
            <w:tcW w:w="598" w:type="pct"/>
            <w:vAlign w:val="center"/>
          </w:tcPr>
          <w:p w14:paraId="4C7637EC" w14:textId="77777777" w:rsidR="00EE205A" w:rsidRPr="00640D01" w:rsidRDefault="00EE205A" w:rsidP="00B95FFB">
            <w:pPr>
              <w:pStyle w:val="TableText"/>
              <w:rPr>
                <w:color w:val="7030A0"/>
              </w:rPr>
            </w:pPr>
            <w:r w:rsidRPr="00640D01">
              <w:rPr>
                <w:color w:val="7030A0"/>
              </w:rPr>
              <w:t>0</w:t>
            </w:r>
          </w:p>
        </w:tc>
      </w:tr>
      <w:tr w:rsidR="00EE205A" w:rsidRPr="00640D01" w14:paraId="6C611B94" w14:textId="77777777" w:rsidTr="00B95FFB">
        <w:trPr>
          <w:trHeight w:val="317"/>
          <w:jc w:val="center"/>
        </w:trPr>
        <w:tc>
          <w:tcPr>
            <w:tcW w:w="1397" w:type="pct"/>
            <w:vAlign w:val="center"/>
          </w:tcPr>
          <w:p w14:paraId="7DACF284" w14:textId="77777777" w:rsidR="00EE205A" w:rsidRPr="00640D01" w:rsidRDefault="00EE205A" w:rsidP="00B95FFB">
            <w:pPr>
              <w:pStyle w:val="TableText"/>
            </w:pPr>
            <w:r w:rsidRPr="00640D01">
              <w:t>Aromatic Content</w:t>
            </w:r>
          </w:p>
        </w:tc>
        <w:tc>
          <w:tcPr>
            <w:tcW w:w="601" w:type="pct"/>
            <w:vAlign w:val="center"/>
          </w:tcPr>
          <w:p w14:paraId="6EE0BB72" w14:textId="77777777" w:rsidR="00EE205A" w:rsidRPr="00640D01" w:rsidRDefault="00EE205A" w:rsidP="00B95FFB">
            <w:pPr>
              <w:pStyle w:val="TableText"/>
              <w:rPr>
                <w:color w:val="7030A0"/>
              </w:rPr>
            </w:pPr>
            <w:r w:rsidRPr="00640D01">
              <w:rPr>
                <w:color w:val="7030A0"/>
              </w:rPr>
              <w:t>21.36</w:t>
            </w:r>
          </w:p>
        </w:tc>
        <w:tc>
          <w:tcPr>
            <w:tcW w:w="601" w:type="pct"/>
            <w:vAlign w:val="center"/>
          </w:tcPr>
          <w:p w14:paraId="3E83EA3E" w14:textId="77777777" w:rsidR="00EE205A" w:rsidRPr="00640D01" w:rsidRDefault="00EE205A" w:rsidP="00B95FFB">
            <w:pPr>
              <w:pStyle w:val="TableText"/>
              <w:rPr>
                <w:color w:val="7030A0"/>
              </w:rPr>
            </w:pPr>
            <w:r w:rsidRPr="00640D01">
              <w:rPr>
                <w:color w:val="7030A0"/>
              </w:rPr>
              <w:t>26.67</w:t>
            </w:r>
          </w:p>
        </w:tc>
        <w:tc>
          <w:tcPr>
            <w:tcW w:w="601" w:type="pct"/>
            <w:vAlign w:val="center"/>
          </w:tcPr>
          <w:p w14:paraId="65BE20AA" w14:textId="77777777" w:rsidR="00EE205A" w:rsidRPr="00640D01" w:rsidRDefault="00EE205A" w:rsidP="00B95FFB">
            <w:pPr>
              <w:pStyle w:val="TableText"/>
              <w:rPr>
                <w:color w:val="7030A0"/>
              </w:rPr>
            </w:pPr>
            <w:r w:rsidRPr="00640D01">
              <w:rPr>
                <w:color w:val="7030A0"/>
              </w:rPr>
              <w:t>21.36</w:t>
            </w:r>
          </w:p>
        </w:tc>
        <w:tc>
          <w:tcPr>
            <w:tcW w:w="601" w:type="pct"/>
            <w:vAlign w:val="center"/>
          </w:tcPr>
          <w:p w14:paraId="49F81949" w14:textId="77777777" w:rsidR="00EE205A" w:rsidRPr="00640D01" w:rsidRDefault="00EE205A" w:rsidP="00B95FFB">
            <w:pPr>
              <w:pStyle w:val="TableText"/>
              <w:rPr>
                <w:color w:val="7030A0"/>
              </w:rPr>
            </w:pPr>
            <w:r w:rsidRPr="00640D01">
              <w:rPr>
                <w:color w:val="7030A0"/>
              </w:rPr>
              <w:t>24.24</w:t>
            </w:r>
          </w:p>
        </w:tc>
        <w:tc>
          <w:tcPr>
            <w:tcW w:w="601" w:type="pct"/>
            <w:vAlign w:val="center"/>
          </w:tcPr>
          <w:p w14:paraId="4DEEE534" w14:textId="77777777" w:rsidR="00EE205A" w:rsidRPr="00640D01" w:rsidRDefault="00EE205A" w:rsidP="00B95FFB">
            <w:pPr>
              <w:pStyle w:val="TableText"/>
              <w:rPr>
                <w:color w:val="7030A0"/>
              </w:rPr>
            </w:pPr>
            <w:r w:rsidRPr="00640D01">
              <w:rPr>
                <w:color w:val="7030A0"/>
              </w:rPr>
              <w:t>0</w:t>
            </w:r>
          </w:p>
        </w:tc>
        <w:tc>
          <w:tcPr>
            <w:tcW w:w="598" w:type="pct"/>
            <w:vAlign w:val="center"/>
          </w:tcPr>
          <w:p w14:paraId="60DBD401" w14:textId="77777777" w:rsidR="00EE205A" w:rsidRPr="00640D01" w:rsidRDefault="00EE205A" w:rsidP="00B95FFB">
            <w:pPr>
              <w:pStyle w:val="TableText"/>
              <w:rPr>
                <w:color w:val="7030A0"/>
              </w:rPr>
            </w:pPr>
            <w:r w:rsidRPr="00640D01">
              <w:rPr>
                <w:color w:val="7030A0"/>
              </w:rPr>
              <w:t>0</w:t>
            </w:r>
          </w:p>
        </w:tc>
      </w:tr>
      <w:tr w:rsidR="00EE205A" w:rsidRPr="00640D01" w14:paraId="5C0FDA5C" w14:textId="77777777" w:rsidTr="00B95FFB">
        <w:trPr>
          <w:trHeight w:val="317"/>
          <w:jc w:val="center"/>
        </w:trPr>
        <w:tc>
          <w:tcPr>
            <w:tcW w:w="1397" w:type="pct"/>
            <w:vAlign w:val="center"/>
          </w:tcPr>
          <w:p w14:paraId="646BE836" w14:textId="77777777" w:rsidR="00EE205A" w:rsidRPr="00640D01" w:rsidRDefault="00EE205A" w:rsidP="00B95FFB">
            <w:pPr>
              <w:pStyle w:val="TableText"/>
            </w:pPr>
            <w:r w:rsidRPr="00640D01">
              <w:t>Olefin Content</w:t>
            </w:r>
          </w:p>
        </w:tc>
        <w:tc>
          <w:tcPr>
            <w:tcW w:w="601" w:type="pct"/>
            <w:vAlign w:val="center"/>
          </w:tcPr>
          <w:p w14:paraId="1AB84BBE" w14:textId="77777777" w:rsidR="00EE205A" w:rsidRPr="00640D01" w:rsidRDefault="00EE205A" w:rsidP="00B95FFB">
            <w:pPr>
              <w:pStyle w:val="TableText"/>
              <w:rPr>
                <w:color w:val="7030A0"/>
              </w:rPr>
            </w:pPr>
            <w:r w:rsidRPr="00640D01">
              <w:rPr>
                <w:color w:val="7030A0"/>
              </w:rPr>
              <w:t>6.66</w:t>
            </w:r>
          </w:p>
        </w:tc>
        <w:tc>
          <w:tcPr>
            <w:tcW w:w="601" w:type="pct"/>
            <w:vAlign w:val="center"/>
          </w:tcPr>
          <w:p w14:paraId="2B3E6F9F" w14:textId="77777777" w:rsidR="00EE205A" w:rsidRPr="00640D01" w:rsidRDefault="00EE205A" w:rsidP="00B95FFB">
            <w:pPr>
              <w:pStyle w:val="TableText"/>
              <w:rPr>
                <w:color w:val="7030A0"/>
              </w:rPr>
            </w:pPr>
            <w:r w:rsidRPr="00640D01">
              <w:rPr>
                <w:color w:val="7030A0"/>
              </w:rPr>
              <w:t>5.50</w:t>
            </w:r>
          </w:p>
        </w:tc>
        <w:tc>
          <w:tcPr>
            <w:tcW w:w="601" w:type="pct"/>
            <w:vAlign w:val="center"/>
          </w:tcPr>
          <w:p w14:paraId="154CF810" w14:textId="77777777" w:rsidR="00EE205A" w:rsidRPr="00640D01" w:rsidRDefault="00EE205A" w:rsidP="00B95FFB">
            <w:pPr>
              <w:pStyle w:val="TableText"/>
              <w:rPr>
                <w:color w:val="7030A0"/>
              </w:rPr>
            </w:pPr>
            <w:r w:rsidRPr="00640D01">
              <w:rPr>
                <w:color w:val="7030A0"/>
              </w:rPr>
              <w:t>6.66</w:t>
            </w:r>
          </w:p>
        </w:tc>
        <w:tc>
          <w:tcPr>
            <w:tcW w:w="601" w:type="pct"/>
            <w:vAlign w:val="center"/>
          </w:tcPr>
          <w:p w14:paraId="44D5345C" w14:textId="77777777" w:rsidR="00EE205A" w:rsidRPr="00640D01" w:rsidRDefault="00EE205A" w:rsidP="00B95FFB">
            <w:pPr>
              <w:pStyle w:val="TableText"/>
              <w:rPr>
                <w:color w:val="7030A0"/>
              </w:rPr>
            </w:pPr>
            <w:r w:rsidRPr="00640D01">
              <w:rPr>
                <w:color w:val="7030A0"/>
              </w:rPr>
              <w:t>5.94</w:t>
            </w:r>
          </w:p>
        </w:tc>
        <w:tc>
          <w:tcPr>
            <w:tcW w:w="601" w:type="pct"/>
            <w:vAlign w:val="center"/>
          </w:tcPr>
          <w:p w14:paraId="42469041" w14:textId="77777777" w:rsidR="00EE205A" w:rsidRPr="00640D01" w:rsidRDefault="00EE205A" w:rsidP="00B95FFB">
            <w:pPr>
              <w:pStyle w:val="TableText"/>
              <w:rPr>
                <w:color w:val="7030A0"/>
              </w:rPr>
            </w:pPr>
            <w:r w:rsidRPr="00640D01">
              <w:rPr>
                <w:color w:val="7030A0"/>
              </w:rPr>
              <w:t>0</w:t>
            </w:r>
          </w:p>
        </w:tc>
        <w:tc>
          <w:tcPr>
            <w:tcW w:w="598" w:type="pct"/>
            <w:vAlign w:val="center"/>
          </w:tcPr>
          <w:p w14:paraId="2818D77F" w14:textId="77777777" w:rsidR="00EE205A" w:rsidRPr="00640D01" w:rsidRDefault="00EE205A" w:rsidP="00B95FFB">
            <w:pPr>
              <w:pStyle w:val="TableText"/>
              <w:rPr>
                <w:color w:val="7030A0"/>
              </w:rPr>
            </w:pPr>
            <w:r w:rsidRPr="00640D01">
              <w:rPr>
                <w:color w:val="7030A0"/>
              </w:rPr>
              <w:t>0</w:t>
            </w:r>
          </w:p>
        </w:tc>
      </w:tr>
      <w:tr w:rsidR="00EE205A" w:rsidRPr="00640D01" w14:paraId="12CF170F" w14:textId="77777777" w:rsidTr="00B95FFB">
        <w:trPr>
          <w:trHeight w:val="317"/>
          <w:jc w:val="center"/>
        </w:trPr>
        <w:tc>
          <w:tcPr>
            <w:tcW w:w="1397" w:type="pct"/>
            <w:vAlign w:val="center"/>
          </w:tcPr>
          <w:p w14:paraId="6738D03D" w14:textId="77777777" w:rsidR="00EE205A" w:rsidRPr="00640D01" w:rsidRDefault="00EE205A" w:rsidP="00B95FFB">
            <w:pPr>
              <w:pStyle w:val="TableText"/>
            </w:pPr>
            <w:r w:rsidRPr="00640D01">
              <w:t>Benzene Content</w:t>
            </w:r>
          </w:p>
        </w:tc>
        <w:tc>
          <w:tcPr>
            <w:tcW w:w="601" w:type="pct"/>
            <w:vAlign w:val="center"/>
          </w:tcPr>
          <w:p w14:paraId="0999A5AE" w14:textId="77777777" w:rsidR="00EE205A" w:rsidRPr="00640D01" w:rsidRDefault="00EE205A" w:rsidP="00B95FFB">
            <w:pPr>
              <w:pStyle w:val="TableText"/>
              <w:rPr>
                <w:color w:val="7030A0"/>
              </w:rPr>
            </w:pPr>
            <w:r w:rsidRPr="00640D01">
              <w:rPr>
                <w:color w:val="7030A0"/>
              </w:rPr>
              <w:t>0.63</w:t>
            </w:r>
          </w:p>
        </w:tc>
        <w:tc>
          <w:tcPr>
            <w:tcW w:w="601" w:type="pct"/>
            <w:vAlign w:val="center"/>
          </w:tcPr>
          <w:p w14:paraId="6675BECE" w14:textId="77777777" w:rsidR="00EE205A" w:rsidRPr="00640D01" w:rsidRDefault="00EE205A" w:rsidP="00B95FFB">
            <w:pPr>
              <w:pStyle w:val="TableText"/>
              <w:rPr>
                <w:color w:val="7030A0"/>
              </w:rPr>
            </w:pPr>
            <w:r w:rsidRPr="00640D01">
              <w:rPr>
                <w:color w:val="7030A0"/>
              </w:rPr>
              <w:t>1.30</w:t>
            </w:r>
          </w:p>
        </w:tc>
        <w:tc>
          <w:tcPr>
            <w:tcW w:w="601" w:type="pct"/>
            <w:vAlign w:val="center"/>
          </w:tcPr>
          <w:p w14:paraId="4E25C053" w14:textId="77777777" w:rsidR="00EE205A" w:rsidRPr="00640D01" w:rsidRDefault="00EE205A" w:rsidP="00B95FFB">
            <w:pPr>
              <w:pStyle w:val="TableText"/>
              <w:rPr>
                <w:color w:val="7030A0"/>
              </w:rPr>
            </w:pPr>
            <w:r w:rsidRPr="00640D01">
              <w:rPr>
                <w:color w:val="7030A0"/>
              </w:rPr>
              <w:t>0.63</w:t>
            </w:r>
          </w:p>
        </w:tc>
        <w:tc>
          <w:tcPr>
            <w:tcW w:w="601" w:type="pct"/>
            <w:vAlign w:val="center"/>
          </w:tcPr>
          <w:p w14:paraId="195001AD" w14:textId="77777777" w:rsidR="00EE205A" w:rsidRPr="00640D01" w:rsidRDefault="00EE205A" w:rsidP="00B95FFB">
            <w:pPr>
              <w:pStyle w:val="TableText"/>
              <w:rPr>
                <w:color w:val="7030A0"/>
              </w:rPr>
            </w:pPr>
            <w:r w:rsidRPr="00640D01">
              <w:rPr>
                <w:color w:val="7030A0"/>
              </w:rPr>
              <w:t>0.63</w:t>
            </w:r>
          </w:p>
        </w:tc>
        <w:tc>
          <w:tcPr>
            <w:tcW w:w="601" w:type="pct"/>
            <w:vAlign w:val="center"/>
          </w:tcPr>
          <w:p w14:paraId="2D5D154D" w14:textId="77777777" w:rsidR="00EE205A" w:rsidRPr="00640D01" w:rsidRDefault="00EE205A" w:rsidP="00B95FFB">
            <w:pPr>
              <w:pStyle w:val="TableText"/>
              <w:rPr>
                <w:color w:val="7030A0"/>
              </w:rPr>
            </w:pPr>
            <w:r w:rsidRPr="00640D01">
              <w:rPr>
                <w:color w:val="7030A0"/>
              </w:rPr>
              <w:t>0</w:t>
            </w:r>
          </w:p>
        </w:tc>
        <w:tc>
          <w:tcPr>
            <w:tcW w:w="598" w:type="pct"/>
            <w:vAlign w:val="center"/>
          </w:tcPr>
          <w:p w14:paraId="67070170" w14:textId="77777777" w:rsidR="00EE205A" w:rsidRPr="00640D01" w:rsidRDefault="00EE205A" w:rsidP="00B95FFB">
            <w:pPr>
              <w:pStyle w:val="TableText"/>
              <w:rPr>
                <w:color w:val="7030A0"/>
              </w:rPr>
            </w:pPr>
            <w:r w:rsidRPr="00640D01">
              <w:rPr>
                <w:color w:val="7030A0"/>
              </w:rPr>
              <w:t>0</w:t>
            </w:r>
          </w:p>
        </w:tc>
      </w:tr>
      <w:tr w:rsidR="00EE205A" w:rsidRPr="00640D01" w14:paraId="07F5EB96" w14:textId="77777777" w:rsidTr="00B95FFB">
        <w:trPr>
          <w:trHeight w:val="317"/>
          <w:jc w:val="center"/>
        </w:trPr>
        <w:tc>
          <w:tcPr>
            <w:tcW w:w="1397" w:type="pct"/>
            <w:vAlign w:val="center"/>
          </w:tcPr>
          <w:p w14:paraId="2DB4471C" w14:textId="77777777" w:rsidR="00EE205A" w:rsidRPr="00640D01" w:rsidRDefault="00EE205A" w:rsidP="00B95FFB">
            <w:pPr>
              <w:pStyle w:val="TableText"/>
            </w:pPr>
            <w:r w:rsidRPr="00640D01">
              <w:t>e200</w:t>
            </w:r>
          </w:p>
        </w:tc>
        <w:tc>
          <w:tcPr>
            <w:tcW w:w="601" w:type="pct"/>
            <w:vAlign w:val="center"/>
          </w:tcPr>
          <w:p w14:paraId="7818BA89" w14:textId="77777777" w:rsidR="00EE205A" w:rsidRPr="00640D01" w:rsidRDefault="00EE205A" w:rsidP="00B95FFB">
            <w:pPr>
              <w:pStyle w:val="TableText"/>
              <w:rPr>
                <w:color w:val="7030A0"/>
              </w:rPr>
            </w:pPr>
            <w:r w:rsidRPr="00640D01">
              <w:rPr>
                <w:color w:val="7030A0"/>
              </w:rPr>
              <w:t>53.72</w:t>
            </w:r>
          </w:p>
        </w:tc>
        <w:tc>
          <w:tcPr>
            <w:tcW w:w="601" w:type="pct"/>
            <w:vAlign w:val="center"/>
          </w:tcPr>
          <w:p w14:paraId="67B910E7" w14:textId="77777777" w:rsidR="00EE205A" w:rsidRPr="00640D01" w:rsidRDefault="00EE205A" w:rsidP="00B95FFB">
            <w:pPr>
              <w:pStyle w:val="TableText"/>
              <w:rPr>
                <w:color w:val="7030A0"/>
              </w:rPr>
            </w:pPr>
            <w:r w:rsidRPr="00640D01">
              <w:rPr>
                <w:color w:val="7030A0"/>
              </w:rPr>
              <w:t>48.74</w:t>
            </w:r>
          </w:p>
        </w:tc>
        <w:tc>
          <w:tcPr>
            <w:tcW w:w="601" w:type="pct"/>
            <w:vAlign w:val="center"/>
          </w:tcPr>
          <w:p w14:paraId="41CA66ED" w14:textId="77777777" w:rsidR="00EE205A" w:rsidRPr="00640D01" w:rsidRDefault="00EE205A" w:rsidP="00B95FFB">
            <w:pPr>
              <w:pStyle w:val="TableText"/>
              <w:rPr>
                <w:color w:val="7030A0"/>
              </w:rPr>
            </w:pPr>
            <w:r w:rsidRPr="00640D01">
              <w:rPr>
                <w:color w:val="7030A0"/>
              </w:rPr>
              <w:t>53.72</w:t>
            </w:r>
          </w:p>
        </w:tc>
        <w:tc>
          <w:tcPr>
            <w:tcW w:w="601" w:type="pct"/>
            <w:vAlign w:val="center"/>
          </w:tcPr>
          <w:p w14:paraId="0CDB795A" w14:textId="77777777" w:rsidR="00EE205A" w:rsidRPr="00640D01" w:rsidRDefault="00EE205A" w:rsidP="00B95FFB">
            <w:pPr>
              <w:pStyle w:val="TableText"/>
              <w:rPr>
                <w:color w:val="7030A0"/>
              </w:rPr>
            </w:pPr>
            <w:r w:rsidRPr="00640D01">
              <w:rPr>
                <w:color w:val="7030A0"/>
              </w:rPr>
              <w:t>44.61</w:t>
            </w:r>
          </w:p>
        </w:tc>
        <w:tc>
          <w:tcPr>
            <w:tcW w:w="601" w:type="pct"/>
            <w:vAlign w:val="center"/>
          </w:tcPr>
          <w:p w14:paraId="5ACB30B5" w14:textId="77777777" w:rsidR="00EE205A" w:rsidRPr="00640D01" w:rsidRDefault="00EE205A" w:rsidP="00B95FFB">
            <w:pPr>
              <w:pStyle w:val="TableText"/>
              <w:rPr>
                <w:color w:val="7030A0"/>
              </w:rPr>
            </w:pPr>
            <w:r w:rsidRPr="00640D01">
              <w:rPr>
                <w:color w:val="7030A0"/>
              </w:rPr>
              <w:t>0</w:t>
            </w:r>
          </w:p>
        </w:tc>
        <w:tc>
          <w:tcPr>
            <w:tcW w:w="598" w:type="pct"/>
            <w:vAlign w:val="center"/>
          </w:tcPr>
          <w:p w14:paraId="401886BE" w14:textId="77777777" w:rsidR="00EE205A" w:rsidRPr="00640D01" w:rsidRDefault="00EE205A" w:rsidP="00B95FFB">
            <w:pPr>
              <w:pStyle w:val="TableText"/>
              <w:rPr>
                <w:color w:val="7030A0"/>
              </w:rPr>
            </w:pPr>
            <w:r w:rsidRPr="00640D01">
              <w:rPr>
                <w:color w:val="7030A0"/>
              </w:rPr>
              <w:t>0</w:t>
            </w:r>
          </w:p>
        </w:tc>
      </w:tr>
      <w:tr w:rsidR="00EE205A" w:rsidRPr="00640D01" w14:paraId="0555D7FA" w14:textId="77777777" w:rsidTr="00B95FFB">
        <w:trPr>
          <w:trHeight w:val="317"/>
          <w:jc w:val="center"/>
        </w:trPr>
        <w:tc>
          <w:tcPr>
            <w:tcW w:w="1397" w:type="pct"/>
            <w:vAlign w:val="center"/>
          </w:tcPr>
          <w:p w14:paraId="005B94B1" w14:textId="77777777" w:rsidR="00EE205A" w:rsidRPr="00640D01" w:rsidRDefault="00EE205A" w:rsidP="00B95FFB">
            <w:pPr>
              <w:pStyle w:val="TableText"/>
            </w:pPr>
            <w:r w:rsidRPr="00640D01">
              <w:t>e300</w:t>
            </w:r>
          </w:p>
        </w:tc>
        <w:tc>
          <w:tcPr>
            <w:tcW w:w="601" w:type="pct"/>
            <w:vAlign w:val="center"/>
          </w:tcPr>
          <w:p w14:paraId="5463EA72" w14:textId="77777777" w:rsidR="00EE205A" w:rsidRPr="00640D01" w:rsidRDefault="00EE205A" w:rsidP="00B95FFB">
            <w:pPr>
              <w:pStyle w:val="TableText"/>
              <w:rPr>
                <w:color w:val="7030A0"/>
              </w:rPr>
            </w:pPr>
            <w:r w:rsidRPr="00640D01">
              <w:rPr>
                <w:color w:val="7030A0"/>
              </w:rPr>
              <w:t>87.38</w:t>
            </w:r>
          </w:p>
        </w:tc>
        <w:tc>
          <w:tcPr>
            <w:tcW w:w="601" w:type="pct"/>
            <w:vAlign w:val="center"/>
          </w:tcPr>
          <w:p w14:paraId="1825EE56" w14:textId="77777777" w:rsidR="00EE205A" w:rsidRPr="00640D01" w:rsidRDefault="00EE205A" w:rsidP="00B95FFB">
            <w:pPr>
              <w:pStyle w:val="TableText"/>
              <w:rPr>
                <w:color w:val="7030A0"/>
              </w:rPr>
            </w:pPr>
            <w:r w:rsidRPr="00640D01">
              <w:rPr>
                <w:color w:val="7030A0"/>
              </w:rPr>
              <w:t>87.84</w:t>
            </w:r>
          </w:p>
        </w:tc>
        <w:tc>
          <w:tcPr>
            <w:tcW w:w="601" w:type="pct"/>
            <w:vAlign w:val="center"/>
          </w:tcPr>
          <w:p w14:paraId="02350FB8" w14:textId="77777777" w:rsidR="00EE205A" w:rsidRPr="00640D01" w:rsidRDefault="00EE205A" w:rsidP="00B95FFB">
            <w:pPr>
              <w:pStyle w:val="TableText"/>
              <w:rPr>
                <w:color w:val="7030A0"/>
              </w:rPr>
            </w:pPr>
            <w:r w:rsidRPr="00640D01">
              <w:rPr>
                <w:color w:val="7030A0"/>
              </w:rPr>
              <w:t>87.38</w:t>
            </w:r>
          </w:p>
        </w:tc>
        <w:tc>
          <w:tcPr>
            <w:tcW w:w="601" w:type="pct"/>
            <w:vAlign w:val="center"/>
          </w:tcPr>
          <w:p w14:paraId="48A8BB58" w14:textId="77777777" w:rsidR="00EE205A" w:rsidRPr="00640D01" w:rsidRDefault="00EE205A" w:rsidP="00B95FFB">
            <w:pPr>
              <w:pStyle w:val="TableText"/>
              <w:rPr>
                <w:color w:val="7030A0"/>
              </w:rPr>
            </w:pPr>
            <w:r w:rsidRPr="00640D01">
              <w:rPr>
                <w:color w:val="7030A0"/>
              </w:rPr>
              <w:t>84.63</w:t>
            </w:r>
          </w:p>
        </w:tc>
        <w:tc>
          <w:tcPr>
            <w:tcW w:w="601" w:type="pct"/>
            <w:vAlign w:val="center"/>
          </w:tcPr>
          <w:p w14:paraId="0C27ECFA" w14:textId="77777777" w:rsidR="00EE205A" w:rsidRPr="00640D01" w:rsidRDefault="00EE205A" w:rsidP="00B95FFB">
            <w:pPr>
              <w:pStyle w:val="TableText"/>
              <w:rPr>
                <w:color w:val="7030A0"/>
              </w:rPr>
            </w:pPr>
            <w:r w:rsidRPr="00640D01">
              <w:rPr>
                <w:color w:val="7030A0"/>
              </w:rPr>
              <w:t>0</w:t>
            </w:r>
          </w:p>
        </w:tc>
        <w:tc>
          <w:tcPr>
            <w:tcW w:w="598" w:type="pct"/>
            <w:vAlign w:val="center"/>
          </w:tcPr>
          <w:p w14:paraId="72BADA4E" w14:textId="77777777" w:rsidR="00EE205A" w:rsidRPr="00640D01" w:rsidRDefault="00EE205A" w:rsidP="00B95FFB">
            <w:pPr>
              <w:pStyle w:val="TableText"/>
              <w:rPr>
                <w:color w:val="7030A0"/>
              </w:rPr>
            </w:pPr>
            <w:r w:rsidRPr="00640D01">
              <w:rPr>
                <w:color w:val="7030A0"/>
              </w:rPr>
              <w:t>0</w:t>
            </w:r>
          </w:p>
        </w:tc>
      </w:tr>
      <w:tr w:rsidR="00EE205A" w:rsidRPr="00640D01" w14:paraId="5167DF75" w14:textId="77777777" w:rsidTr="00B95FFB">
        <w:trPr>
          <w:trHeight w:val="317"/>
          <w:jc w:val="center"/>
        </w:trPr>
        <w:tc>
          <w:tcPr>
            <w:tcW w:w="1397" w:type="pct"/>
            <w:vAlign w:val="center"/>
          </w:tcPr>
          <w:p w14:paraId="494B4C30" w14:textId="77777777" w:rsidR="00EE205A" w:rsidRPr="00640D01" w:rsidRDefault="00EE205A" w:rsidP="00B95FFB">
            <w:pPr>
              <w:pStyle w:val="TableText"/>
            </w:pPr>
            <w:r w:rsidRPr="00640D01">
              <w:t>Vol to Wt Percent Oxy</w:t>
            </w:r>
          </w:p>
        </w:tc>
        <w:tc>
          <w:tcPr>
            <w:tcW w:w="601" w:type="pct"/>
            <w:vAlign w:val="center"/>
          </w:tcPr>
          <w:p w14:paraId="68B6BA62" w14:textId="77777777" w:rsidR="00EE205A" w:rsidRPr="00640D01" w:rsidRDefault="00EE205A" w:rsidP="00B95FFB">
            <w:pPr>
              <w:pStyle w:val="TableText"/>
              <w:rPr>
                <w:color w:val="7030A0"/>
              </w:rPr>
            </w:pPr>
            <w:r w:rsidRPr="00640D01">
              <w:rPr>
                <w:color w:val="7030A0"/>
              </w:rPr>
              <w:t>0.3653</w:t>
            </w:r>
          </w:p>
        </w:tc>
        <w:tc>
          <w:tcPr>
            <w:tcW w:w="601" w:type="pct"/>
            <w:vAlign w:val="center"/>
          </w:tcPr>
          <w:p w14:paraId="45191F7D" w14:textId="77777777" w:rsidR="00EE205A" w:rsidRPr="00640D01" w:rsidRDefault="00EE205A" w:rsidP="00B95FFB">
            <w:pPr>
              <w:pStyle w:val="TableText"/>
              <w:rPr>
                <w:color w:val="7030A0"/>
              </w:rPr>
            </w:pPr>
            <w:r w:rsidRPr="00640D01">
              <w:rPr>
                <w:color w:val="7030A0"/>
              </w:rPr>
              <w:t>0.3653</w:t>
            </w:r>
          </w:p>
        </w:tc>
        <w:tc>
          <w:tcPr>
            <w:tcW w:w="601" w:type="pct"/>
            <w:vAlign w:val="center"/>
          </w:tcPr>
          <w:p w14:paraId="6FD9C8BD" w14:textId="77777777" w:rsidR="00EE205A" w:rsidRPr="00640D01" w:rsidRDefault="00EE205A" w:rsidP="00B95FFB">
            <w:pPr>
              <w:pStyle w:val="TableText"/>
              <w:rPr>
                <w:color w:val="7030A0"/>
              </w:rPr>
            </w:pPr>
            <w:r w:rsidRPr="00640D01">
              <w:rPr>
                <w:color w:val="7030A0"/>
              </w:rPr>
              <w:t>0.3653</w:t>
            </w:r>
          </w:p>
        </w:tc>
        <w:tc>
          <w:tcPr>
            <w:tcW w:w="601" w:type="pct"/>
            <w:vAlign w:val="center"/>
          </w:tcPr>
          <w:p w14:paraId="10F6DBB2" w14:textId="77777777" w:rsidR="00EE205A" w:rsidRPr="00640D01" w:rsidRDefault="00EE205A" w:rsidP="00B95FFB">
            <w:pPr>
              <w:pStyle w:val="TableText"/>
              <w:rPr>
                <w:color w:val="7030A0"/>
              </w:rPr>
            </w:pPr>
            <w:r w:rsidRPr="00640D01">
              <w:rPr>
                <w:color w:val="7030A0"/>
              </w:rPr>
              <w:t>0.3653</w:t>
            </w:r>
          </w:p>
        </w:tc>
        <w:tc>
          <w:tcPr>
            <w:tcW w:w="601" w:type="pct"/>
            <w:vAlign w:val="center"/>
          </w:tcPr>
          <w:p w14:paraId="6956F7D4" w14:textId="77777777" w:rsidR="00EE205A" w:rsidRPr="00640D01" w:rsidRDefault="00EE205A" w:rsidP="00B95FFB">
            <w:pPr>
              <w:pStyle w:val="TableText"/>
              <w:rPr>
                <w:color w:val="7030A0"/>
              </w:rPr>
            </w:pPr>
            <w:r w:rsidRPr="00640D01">
              <w:rPr>
                <w:color w:val="7030A0"/>
              </w:rPr>
              <w:t>0</w:t>
            </w:r>
          </w:p>
        </w:tc>
        <w:tc>
          <w:tcPr>
            <w:tcW w:w="598" w:type="pct"/>
            <w:vAlign w:val="center"/>
          </w:tcPr>
          <w:p w14:paraId="486E7ABF" w14:textId="77777777" w:rsidR="00EE205A" w:rsidRPr="00640D01" w:rsidRDefault="00EE205A" w:rsidP="00B95FFB">
            <w:pPr>
              <w:pStyle w:val="TableText"/>
              <w:rPr>
                <w:color w:val="7030A0"/>
              </w:rPr>
            </w:pPr>
            <w:r w:rsidRPr="00640D01">
              <w:rPr>
                <w:color w:val="7030A0"/>
              </w:rPr>
              <w:t>0</w:t>
            </w:r>
          </w:p>
        </w:tc>
      </w:tr>
      <w:tr w:rsidR="00EE205A" w:rsidRPr="00640D01" w14:paraId="2030900E" w14:textId="77777777" w:rsidTr="00B95FFB">
        <w:trPr>
          <w:trHeight w:val="317"/>
          <w:jc w:val="center"/>
        </w:trPr>
        <w:tc>
          <w:tcPr>
            <w:tcW w:w="1397" w:type="pct"/>
            <w:vAlign w:val="center"/>
          </w:tcPr>
          <w:p w14:paraId="18F45ED4" w14:textId="77777777" w:rsidR="00EE205A" w:rsidRPr="00640D01" w:rsidRDefault="00EE205A" w:rsidP="00B95FFB">
            <w:pPr>
              <w:pStyle w:val="TableText"/>
            </w:pPr>
            <w:r w:rsidRPr="00640D01">
              <w:t>BioDieselEster Volume</w:t>
            </w:r>
          </w:p>
        </w:tc>
        <w:tc>
          <w:tcPr>
            <w:tcW w:w="601" w:type="pct"/>
            <w:vAlign w:val="center"/>
          </w:tcPr>
          <w:p w14:paraId="71E69DE4" w14:textId="77777777" w:rsidR="00EE205A" w:rsidRPr="00640D01" w:rsidRDefault="00EE205A" w:rsidP="00B95FFB">
            <w:pPr>
              <w:pStyle w:val="TableText"/>
              <w:rPr>
                <w:color w:val="7030A0"/>
              </w:rPr>
            </w:pPr>
            <w:r w:rsidRPr="00640D01">
              <w:rPr>
                <w:color w:val="7030A0"/>
              </w:rPr>
              <w:t>N/A</w:t>
            </w:r>
          </w:p>
        </w:tc>
        <w:tc>
          <w:tcPr>
            <w:tcW w:w="601" w:type="pct"/>
            <w:vAlign w:val="center"/>
          </w:tcPr>
          <w:p w14:paraId="37441A7B" w14:textId="77777777" w:rsidR="00EE205A" w:rsidRPr="00640D01" w:rsidRDefault="00EE205A" w:rsidP="00B95FFB">
            <w:pPr>
              <w:pStyle w:val="TableText"/>
              <w:rPr>
                <w:color w:val="7030A0"/>
              </w:rPr>
            </w:pPr>
            <w:r w:rsidRPr="00640D01">
              <w:rPr>
                <w:color w:val="7030A0"/>
              </w:rPr>
              <w:t>N/A</w:t>
            </w:r>
          </w:p>
        </w:tc>
        <w:tc>
          <w:tcPr>
            <w:tcW w:w="601" w:type="pct"/>
            <w:vAlign w:val="center"/>
          </w:tcPr>
          <w:p w14:paraId="4AB8B4D4" w14:textId="77777777" w:rsidR="00EE205A" w:rsidRPr="00640D01" w:rsidRDefault="00EE205A" w:rsidP="00B95FFB">
            <w:pPr>
              <w:pStyle w:val="TableText"/>
              <w:rPr>
                <w:color w:val="7030A0"/>
              </w:rPr>
            </w:pPr>
            <w:r w:rsidRPr="00640D01">
              <w:rPr>
                <w:color w:val="7030A0"/>
              </w:rPr>
              <w:t>N/A</w:t>
            </w:r>
          </w:p>
        </w:tc>
        <w:tc>
          <w:tcPr>
            <w:tcW w:w="601" w:type="pct"/>
            <w:vAlign w:val="center"/>
          </w:tcPr>
          <w:p w14:paraId="2AFE022F" w14:textId="77777777" w:rsidR="00EE205A" w:rsidRPr="00640D01" w:rsidRDefault="00EE205A" w:rsidP="00B95FFB">
            <w:pPr>
              <w:pStyle w:val="TableText"/>
              <w:rPr>
                <w:color w:val="7030A0"/>
              </w:rPr>
            </w:pPr>
            <w:r w:rsidRPr="00640D01">
              <w:rPr>
                <w:color w:val="7030A0"/>
              </w:rPr>
              <w:t>N/A</w:t>
            </w:r>
          </w:p>
        </w:tc>
        <w:tc>
          <w:tcPr>
            <w:tcW w:w="601" w:type="pct"/>
            <w:vAlign w:val="center"/>
          </w:tcPr>
          <w:p w14:paraId="6DA67E64" w14:textId="77777777" w:rsidR="00EE205A" w:rsidRPr="00640D01" w:rsidRDefault="00EE205A" w:rsidP="00B95FFB">
            <w:pPr>
              <w:pStyle w:val="TableText"/>
              <w:rPr>
                <w:color w:val="7030A0"/>
              </w:rPr>
            </w:pPr>
            <w:r w:rsidRPr="00640D01">
              <w:rPr>
                <w:color w:val="7030A0"/>
              </w:rPr>
              <w:t>4.68</w:t>
            </w:r>
          </w:p>
        </w:tc>
        <w:tc>
          <w:tcPr>
            <w:tcW w:w="598" w:type="pct"/>
            <w:vAlign w:val="center"/>
          </w:tcPr>
          <w:p w14:paraId="274BC0CF" w14:textId="77777777" w:rsidR="00EE205A" w:rsidRPr="00640D01" w:rsidRDefault="00EE205A" w:rsidP="00B95FFB">
            <w:pPr>
              <w:pStyle w:val="TableText"/>
              <w:rPr>
                <w:color w:val="7030A0"/>
              </w:rPr>
            </w:pPr>
            <w:r w:rsidRPr="00640D01">
              <w:rPr>
                <w:color w:val="7030A0"/>
              </w:rPr>
              <w:t>4.86</w:t>
            </w:r>
          </w:p>
        </w:tc>
      </w:tr>
      <w:tr w:rsidR="00EE205A" w:rsidRPr="00640D01" w14:paraId="24365894" w14:textId="77777777" w:rsidTr="00B95FFB">
        <w:trPr>
          <w:trHeight w:val="317"/>
          <w:jc w:val="center"/>
        </w:trPr>
        <w:tc>
          <w:tcPr>
            <w:tcW w:w="1397" w:type="pct"/>
            <w:vAlign w:val="center"/>
          </w:tcPr>
          <w:p w14:paraId="02132E2D" w14:textId="77777777" w:rsidR="00EE205A" w:rsidRPr="00640D01" w:rsidRDefault="00EE205A" w:rsidP="00B95FFB">
            <w:pPr>
              <w:pStyle w:val="TableText"/>
            </w:pPr>
            <w:r w:rsidRPr="00640D01">
              <w:t>Cetane Index</w:t>
            </w:r>
          </w:p>
        </w:tc>
        <w:tc>
          <w:tcPr>
            <w:tcW w:w="601" w:type="pct"/>
            <w:vAlign w:val="center"/>
          </w:tcPr>
          <w:p w14:paraId="34DF1398" w14:textId="77777777" w:rsidR="00EE205A" w:rsidRPr="00640D01" w:rsidRDefault="00EE205A" w:rsidP="00B95FFB">
            <w:pPr>
              <w:pStyle w:val="TableText"/>
              <w:rPr>
                <w:color w:val="7030A0"/>
              </w:rPr>
            </w:pPr>
            <w:r w:rsidRPr="00640D01">
              <w:rPr>
                <w:color w:val="7030A0"/>
              </w:rPr>
              <w:t>N/A</w:t>
            </w:r>
          </w:p>
        </w:tc>
        <w:tc>
          <w:tcPr>
            <w:tcW w:w="601" w:type="pct"/>
            <w:vAlign w:val="center"/>
          </w:tcPr>
          <w:p w14:paraId="6CFF7E3E" w14:textId="77777777" w:rsidR="00EE205A" w:rsidRPr="00640D01" w:rsidRDefault="00EE205A" w:rsidP="00B95FFB">
            <w:pPr>
              <w:pStyle w:val="TableText"/>
              <w:rPr>
                <w:color w:val="7030A0"/>
              </w:rPr>
            </w:pPr>
            <w:r w:rsidRPr="00640D01">
              <w:rPr>
                <w:color w:val="7030A0"/>
              </w:rPr>
              <w:t>N/A</w:t>
            </w:r>
          </w:p>
        </w:tc>
        <w:tc>
          <w:tcPr>
            <w:tcW w:w="601" w:type="pct"/>
            <w:vAlign w:val="center"/>
          </w:tcPr>
          <w:p w14:paraId="209B0111" w14:textId="77777777" w:rsidR="00EE205A" w:rsidRPr="00640D01" w:rsidRDefault="00EE205A" w:rsidP="00B95FFB">
            <w:pPr>
              <w:pStyle w:val="TableText"/>
              <w:rPr>
                <w:color w:val="7030A0"/>
              </w:rPr>
            </w:pPr>
            <w:r w:rsidRPr="00640D01">
              <w:rPr>
                <w:color w:val="7030A0"/>
              </w:rPr>
              <w:t>N/A</w:t>
            </w:r>
          </w:p>
        </w:tc>
        <w:tc>
          <w:tcPr>
            <w:tcW w:w="601" w:type="pct"/>
            <w:vAlign w:val="center"/>
          </w:tcPr>
          <w:p w14:paraId="7584BC6B" w14:textId="77777777" w:rsidR="00EE205A" w:rsidRPr="00640D01" w:rsidRDefault="00EE205A" w:rsidP="00B95FFB">
            <w:pPr>
              <w:pStyle w:val="TableText"/>
              <w:rPr>
                <w:color w:val="7030A0"/>
              </w:rPr>
            </w:pPr>
            <w:r w:rsidRPr="00640D01">
              <w:rPr>
                <w:color w:val="7030A0"/>
              </w:rPr>
              <w:t>N/A</w:t>
            </w:r>
          </w:p>
        </w:tc>
        <w:tc>
          <w:tcPr>
            <w:tcW w:w="601" w:type="pct"/>
            <w:vAlign w:val="center"/>
          </w:tcPr>
          <w:p w14:paraId="003D4D83" w14:textId="77777777" w:rsidR="00EE205A" w:rsidRPr="00640D01" w:rsidRDefault="00EE205A" w:rsidP="00B95FFB">
            <w:pPr>
              <w:pStyle w:val="TableText"/>
              <w:rPr>
                <w:color w:val="7030A0"/>
              </w:rPr>
            </w:pPr>
            <w:r w:rsidRPr="00640D01">
              <w:rPr>
                <w:color w:val="7030A0"/>
              </w:rPr>
              <w:t>N/A</w:t>
            </w:r>
          </w:p>
        </w:tc>
        <w:tc>
          <w:tcPr>
            <w:tcW w:w="598" w:type="pct"/>
            <w:vAlign w:val="center"/>
          </w:tcPr>
          <w:p w14:paraId="4AD338C9" w14:textId="77777777" w:rsidR="00EE205A" w:rsidRPr="00640D01" w:rsidRDefault="00EE205A" w:rsidP="00B95FFB">
            <w:pPr>
              <w:pStyle w:val="TableText"/>
              <w:rPr>
                <w:color w:val="7030A0"/>
              </w:rPr>
            </w:pPr>
            <w:r w:rsidRPr="00640D01">
              <w:rPr>
                <w:color w:val="7030A0"/>
              </w:rPr>
              <w:t>N/A</w:t>
            </w:r>
          </w:p>
        </w:tc>
      </w:tr>
      <w:tr w:rsidR="00EE205A" w:rsidRPr="00640D01" w14:paraId="68A405AD" w14:textId="77777777" w:rsidTr="00B95FFB">
        <w:trPr>
          <w:trHeight w:val="317"/>
          <w:jc w:val="center"/>
        </w:trPr>
        <w:tc>
          <w:tcPr>
            <w:tcW w:w="1397" w:type="pct"/>
            <w:vAlign w:val="center"/>
          </w:tcPr>
          <w:p w14:paraId="53F0FAA9" w14:textId="77777777" w:rsidR="00EE205A" w:rsidRPr="00640D01" w:rsidRDefault="00EE205A" w:rsidP="00B95FFB">
            <w:pPr>
              <w:pStyle w:val="TableText"/>
            </w:pPr>
            <w:r w:rsidRPr="00640D01">
              <w:t>PAH Content</w:t>
            </w:r>
          </w:p>
        </w:tc>
        <w:tc>
          <w:tcPr>
            <w:tcW w:w="601" w:type="pct"/>
            <w:vAlign w:val="center"/>
          </w:tcPr>
          <w:p w14:paraId="5ECCF784" w14:textId="77777777" w:rsidR="00EE205A" w:rsidRPr="00640D01" w:rsidRDefault="00EE205A" w:rsidP="00B95FFB">
            <w:pPr>
              <w:pStyle w:val="TableText"/>
              <w:rPr>
                <w:color w:val="7030A0"/>
              </w:rPr>
            </w:pPr>
            <w:r w:rsidRPr="00640D01">
              <w:rPr>
                <w:color w:val="7030A0"/>
              </w:rPr>
              <w:t>N/A</w:t>
            </w:r>
          </w:p>
        </w:tc>
        <w:tc>
          <w:tcPr>
            <w:tcW w:w="601" w:type="pct"/>
            <w:vAlign w:val="center"/>
          </w:tcPr>
          <w:p w14:paraId="78405FC9" w14:textId="77777777" w:rsidR="00EE205A" w:rsidRPr="00640D01" w:rsidRDefault="00EE205A" w:rsidP="00B95FFB">
            <w:pPr>
              <w:pStyle w:val="TableText"/>
              <w:rPr>
                <w:color w:val="7030A0"/>
              </w:rPr>
            </w:pPr>
            <w:r w:rsidRPr="00640D01">
              <w:rPr>
                <w:color w:val="7030A0"/>
              </w:rPr>
              <w:t>N/A</w:t>
            </w:r>
          </w:p>
        </w:tc>
        <w:tc>
          <w:tcPr>
            <w:tcW w:w="601" w:type="pct"/>
            <w:vAlign w:val="center"/>
          </w:tcPr>
          <w:p w14:paraId="58A7A43E" w14:textId="77777777" w:rsidR="00EE205A" w:rsidRPr="00640D01" w:rsidRDefault="00EE205A" w:rsidP="00B95FFB">
            <w:pPr>
              <w:pStyle w:val="TableText"/>
              <w:rPr>
                <w:color w:val="7030A0"/>
              </w:rPr>
            </w:pPr>
            <w:r w:rsidRPr="00640D01">
              <w:rPr>
                <w:color w:val="7030A0"/>
              </w:rPr>
              <w:t>N/A</w:t>
            </w:r>
          </w:p>
        </w:tc>
        <w:tc>
          <w:tcPr>
            <w:tcW w:w="601" w:type="pct"/>
            <w:vAlign w:val="center"/>
          </w:tcPr>
          <w:p w14:paraId="3254D30A" w14:textId="77777777" w:rsidR="00EE205A" w:rsidRPr="00640D01" w:rsidRDefault="00EE205A" w:rsidP="00B95FFB">
            <w:pPr>
              <w:pStyle w:val="TableText"/>
              <w:rPr>
                <w:color w:val="7030A0"/>
              </w:rPr>
            </w:pPr>
            <w:r w:rsidRPr="00640D01">
              <w:rPr>
                <w:color w:val="7030A0"/>
              </w:rPr>
              <w:t>N/A</w:t>
            </w:r>
          </w:p>
        </w:tc>
        <w:tc>
          <w:tcPr>
            <w:tcW w:w="601" w:type="pct"/>
            <w:vAlign w:val="center"/>
          </w:tcPr>
          <w:p w14:paraId="7B30EB6A" w14:textId="77777777" w:rsidR="00EE205A" w:rsidRPr="00640D01" w:rsidRDefault="00EE205A" w:rsidP="00B95FFB">
            <w:pPr>
              <w:pStyle w:val="TableText"/>
              <w:rPr>
                <w:color w:val="7030A0"/>
              </w:rPr>
            </w:pPr>
            <w:r w:rsidRPr="00640D01">
              <w:rPr>
                <w:color w:val="7030A0"/>
              </w:rPr>
              <w:t>N/A</w:t>
            </w:r>
          </w:p>
        </w:tc>
        <w:tc>
          <w:tcPr>
            <w:tcW w:w="598" w:type="pct"/>
            <w:vAlign w:val="center"/>
          </w:tcPr>
          <w:p w14:paraId="1EC437F9" w14:textId="77777777" w:rsidR="00EE205A" w:rsidRPr="00640D01" w:rsidRDefault="00EE205A" w:rsidP="00B95FFB">
            <w:pPr>
              <w:pStyle w:val="TableText"/>
              <w:rPr>
                <w:color w:val="7030A0"/>
              </w:rPr>
            </w:pPr>
            <w:r w:rsidRPr="00640D01">
              <w:rPr>
                <w:color w:val="7030A0"/>
              </w:rPr>
              <w:t>N/A</w:t>
            </w:r>
          </w:p>
        </w:tc>
      </w:tr>
      <w:tr w:rsidR="00EE205A" w:rsidRPr="00640D01" w14:paraId="0E066DDA" w14:textId="77777777" w:rsidTr="00B95FFB">
        <w:trPr>
          <w:trHeight w:val="317"/>
          <w:jc w:val="center"/>
        </w:trPr>
        <w:tc>
          <w:tcPr>
            <w:tcW w:w="1397" w:type="pct"/>
            <w:vAlign w:val="center"/>
          </w:tcPr>
          <w:p w14:paraId="777A9CDB" w14:textId="77777777" w:rsidR="00EE205A" w:rsidRPr="00640D01" w:rsidRDefault="00EE205A" w:rsidP="00B95FFB">
            <w:pPr>
              <w:pStyle w:val="TableText"/>
            </w:pPr>
            <w:r w:rsidRPr="00640D01">
              <w:t>T50</w:t>
            </w:r>
          </w:p>
        </w:tc>
        <w:tc>
          <w:tcPr>
            <w:tcW w:w="601" w:type="pct"/>
            <w:vAlign w:val="center"/>
          </w:tcPr>
          <w:p w14:paraId="35E063B0" w14:textId="77777777" w:rsidR="00EE205A" w:rsidRPr="00640D01" w:rsidRDefault="00EE205A" w:rsidP="00B95FFB">
            <w:pPr>
              <w:pStyle w:val="TableText"/>
              <w:rPr>
                <w:color w:val="7030A0"/>
              </w:rPr>
            </w:pPr>
            <w:r w:rsidRPr="00640D01">
              <w:rPr>
                <w:color w:val="7030A0"/>
              </w:rPr>
              <w:t>192.22</w:t>
            </w:r>
          </w:p>
        </w:tc>
        <w:tc>
          <w:tcPr>
            <w:tcW w:w="601" w:type="pct"/>
            <w:vAlign w:val="center"/>
          </w:tcPr>
          <w:p w14:paraId="7C5D2097" w14:textId="77777777" w:rsidR="00EE205A" w:rsidRPr="00640D01" w:rsidRDefault="00EE205A" w:rsidP="00B95FFB">
            <w:pPr>
              <w:pStyle w:val="TableText"/>
              <w:rPr>
                <w:color w:val="7030A0"/>
              </w:rPr>
            </w:pPr>
            <w:r w:rsidRPr="00640D01">
              <w:rPr>
                <w:color w:val="7030A0"/>
              </w:rPr>
              <w:t>206.12</w:t>
            </w:r>
          </w:p>
        </w:tc>
        <w:tc>
          <w:tcPr>
            <w:tcW w:w="601" w:type="pct"/>
            <w:vAlign w:val="center"/>
          </w:tcPr>
          <w:p w14:paraId="1BB82FE7" w14:textId="77777777" w:rsidR="00EE205A" w:rsidRPr="00640D01" w:rsidRDefault="00EE205A" w:rsidP="00B95FFB">
            <w:pPr>
              <w:pStyle w:val="TableText"/>
              <w:rPr>
                <w:color w:val="7030A0"/>
              </w:rPr>
            </w:pPr>
            <w:r w:rsidRPr="00640D01">
              <w:rPr>
                <w:color w:val="7030A0"/>
              </w:rPr>
              <w:t>192.22</w:t>
            </w:r>
          </w:p>
        </w:tc>
        <w:tc>
          <w:tcPr>
            <w:tcW w:w="601" w:type="pct"/>
            <w:vAlign w:val="center"/>
          </w:tcPr>
          <w:p w14:paraId="04126BE4" w14:textId="77777777" w:rsidR="00EE205A" w:rsidRPr="00640D01" w:rsidRDefault="00EE205A" w:rsidP="00B95FFB">
            <w:pPr>
              <w:pStyle w:val="TableText"/>
              <w:rPr>
                <w:color w:val="7030A0"/>
              </w:rPr>
            </w:pPr>
            <w:r w:rsidRPr="00640D01">
              <w:rPr>
                <w:color w:val="7030A0"/>
              </w:rPr>
              <w:t>220.24</w:t>
            </w:r>
          </w:p>
        </w:tc>
        <w:tc>
          <w:tcPr>
            <w:tcW w:w="601" w:type="pct"/>
            <w:vAlign w:val="center"/>
          </w:tcPr>
          <w:p w14:paraId="51C1BB6E" w14:textId="77777777" w:rsidR="00EE205A" w:rsidRPr="00640D01" w:rsidRDefault="00EE205A" w:rsidP="00B95FFB">
            <w:pPr>
              <w:pStyle w:val="TableText"/>
              <w:rPr>
                <w:color w:val="7030A0"/>
              </w:rPr>
            </w:pPr>
            <w:r w:rsidRPr="00640D01">
              <w:rPr>
                <w:color w:val="7030A0"/>
              </w:rPr>
              <w:t>0</w:t>
            </w:r>
          </w:p>
        </w:tc>
        <w:tc>
          <w:tcPr>
            <w:tcW w:w="598" w:type="pct"/>
            <w:vAlign w:val="center"/>
          </w:tcPr>
          <w:p w14:paraId="10404E3F" w14:textId="77777777" w:rsidR="00EE205A" w:rsidRPr="00640D01" w:rsidRDefault="00EE205A" w:rsidP="00B95FFB">
            <w:pPr>
              <w:pStyle w:val="TableText"/>
              <w:rPr>
                <w:color w:val="7030A0"/>
              </w:rPr>
            </w:pPr>
            <w:r w:rsidRPr="00640D01">
              <w:rPr>
                <w:color w:val="7030A0"/>
              </w:rPr>
              <w:t>0</w:t>
            </w:r>
          </w:p>
        </w:tc>
      </w:tr>
      <w:tr w:rsidR="00EE205A" w:rsidRPr="00640D01" w14:paraId="201748AD" w14:textId="77777777" w:rsidTr="00B95FFB">
        <w:trPr>
          <w:trHeight w:val="317"/>
          <w:jc w:val="center"/>
        </w:trPr>
        <w:tc>
          <w:tcPr>
            <w:tcW w:w="1397" w:type="pct"/>
            <w:vAlign w:val="center"/>
          </w:tcPr>
          <w:p w14:paraId="27B1090E" w14:textId="77777777" w:rsidR="00EE205A" w:rsidRPr="00640D01" w:rsidRDefault="00EE205A" w:rsidP="00B95FFB">
            <w:pPr>
              <w:pStyle w:val="TableText"/>
              <w:keepNext/>
            </w:pPr>
            <w:r w:rsidRPr="00640D01">
              <w:t>T90</w:t>
            </w:r>
          </w:p>
        </w:tc>
        <w:tc>
          <w:tcPr>
            <w:tcW w:w="601" w:type="pct"/>
            <w:vAlign w:val="center"/>
          </w:tcPr>
          <w:p w14:paraId="4DB53527" w14:textId="77777777" w:rsidR="00EE205A" w:rsidRPr="00640D01" w:rsidRDefault="00EE205A" w:rsidP="00B95FFB">
            <w:pPr>
              <w:pStyle w:val="TableText"/>
              <w:keepNext/>
              <w:rPr>
                <w:color w:val="7030A0"/>
              </w:rPr>
            </w:pPr>
            <w:r w:rsidRPr="00640D01">
              <w:rPr>
                <w:color w:val="7030A0"/>
              </w:rPr>
              <w:t>309.50</w:t>
            </w:r>
          </w:p>
        </w:tc>
        <w:tc>
          <w:tcPr>
            <w:tcW w:w="601" w:type="pct"/>
            <w:vAlign w:val="center"/>
          </w:tcPr>
          <w:p w14:paraId="3BC4F58E" w14:textId="77777777" w:rsidR="00EE205A" w:rsidRPr="00640D01" w:rsidRDefault="00EE205A" w:rsidP="00B95FFB">
            <w:pPr>
              <w:pStyle w:val="TableText"/>
              <w:keepNext/>
              <w:rPr>
                <w:color w:val="7030A0"/>
              </w:rPr>
            </w:pPr>
            <w:r w:rsidRPr="00640D01">
              <w:rPr>
                <w:color w:val="7030A0"/>
              </w:rPr>
              <w:t>306.72</w:t>
            </w:r>
          </w:p>
        </w:tc>
        <w:tc>
          <w:tcPr>
            <w:tcW w:w="601" w:type="pct"/>
            <w:vAlign w:val="center"/>
          </w:tcPr>
          <w:p w14:paraId="0E0D2101" w14:textId="77777777" w:rsidR="00EE205A" w:rsidRPr="00640D01" w:rsidRDefault="00EE205A" w:rsidP="00B95FFB">
            <w:pPr>
              <w:pStyle w:val="TableText"/>
              <w:keepNext/>
              <w:rPr>
                <w:color w:val="7030A0"/>
              </w:rPr>
            </w:pPr>
            <w:r w:rsidRPr="00640D01">
              <w:rPr>
                <w:color w:val="7030A0"/>
              </w:rPr>
              <w:t>309.50</w:t>
            </w:r>
          </w:p>
        </w:tc>
        <w:tc>
          <w:tcPr>
            <w:tcW w:w="601" w:type="pct"/>
            <w:vAlign w:val="center"/>
          </w:tcPr>
          <w:p w14:paraId="28B7E3BA" w14:textId="77777777" w:rsidR="00EE205A" w:rsidRPr="00640D01" w:rsidRDefault="00EE205A" w:rsidP="00B95FFB">
            <w:pPr>
              <w:pStyle w:val="TableText"/>
              <w:keepNext/>
              <w:rPr>
                <w:color w:val="7030A0"/>
              </w:rPr>
            </w:pPr>
            <w:r w:rsidRPr="00640D01">
              <w:rPr>
                <w:color w:val="7030A0"/>
              </w:rPr>
              <w:t>317.73</w:t>
            </w:r>
          </w:p>
        </w:tc>
        <w:tc>
          <w:tcPr>
            <w:tcW w:w="601" w:type="pct"/>
            <w:vAlign w:val="center"/>
          </w:tcPr>
          <w:p w14:paraId="31A83189" w14:textId="77777777" w:rsidR="00EE205A" w:rsidRPr="00640D01" w:rsidRDefault="00EE205A" w:rsidP="00B95FFB">
            <w:pPr>
              <w:pStyle w:val="TableText"/>
              <w:keepNext/>
              <w:rPr>
                <w:color w:val="7030A0"/>
              </w:rPr>
            </w:pPr>
            <w:r w:rsidRPr="00640D01">
              <w:rPr>
                <w:color w:val="7030A0"/>
              </w:rPr>
              <w:t>0</w:t>
            </w:r>
          </w:p>
        </w:tc>
        <w:tc>
          <w:tcPr>
            <w:tcW w:w="598" w:type="pct"/>
            <w:vAlign w:val="center"/>
          </w:tcPr>
          <w:p w14:paraId="1C811BE1" w14:textId="77777777" w:rsidR="00EE205A" w:rsidRPr="00640D01" w:rsidRDefault="00EE205A" w:rsidP="00B95FFB">
            <w:pPr>
              <w:pStyle w:val="TableText"/>
              <w:keepNext/>
              <w:rPr>
                <w:color w:val="7030A0"/>
              </w:rPr>
            </w:pPr>
            <w:r w:rsidRPr="00640D01">
              <w:rPr>
                <w:color w:val="7030A0"/>
              </w:rPr>
              <w:t>0</w:t>
            </w:r>
          </w:p>
        </w:tc>
      </w:tr>
    </w:tbl>
    <w:p w14:paraId="384BE8B1" w14:textId="2DBA6C11" w:rsidR="00EE205A" w:rsidRPr="00640D01" w:rsidRDefault="00865CBB" w:rsidP="00B95FFB">
      <w:pPr>
        <w:pStyle w:val="TableNote"/>
      </w:pPr>
      <w:r w:rsidRPr="00640D01">
        <w:t xml:space="preserve">Note: </w:t>
      </w:r>
      <w:r w:rsidR="00BC2763" w:rsidRPr="00640D01">
        <w:t>MOVES requires all on-road mobile fuel types to run, so MOVES default E85, CNG, and electricity fuel formulations were included in the input.</w:t>
      </w:r>
      <w:r w:rsidR="009C54DD" w:rsidRPr="00640D01">
        <w:t xml:space="preserve"> N/A denotes not applicable.</w:t>
      </w:r>
    </w:p>
    <w:p w14:paraId="532AB1F4" w14:textId="5BBB53D2" w:rsidR="00EE205A" w:rsidRPr="00640D01" w:rsidRDefault="00EE205A" w:rsidP="00B95FFB">
      <w:pPr>
        <w:pStyle w:val="TableCaption"/>
        <w:rPr>
          <w:i/>
        </w:rPr>
      </w:pPr>
      <w:bookmarkStart w:id="108" w:name="_Ref138257389"/>
      <w:bookmarkStart w:id="109" w:name="_Toc141792903"/>
      <w:bookmarkStart w:id="110" w:name="_Toc190183126"/>
      <w:r w:rsidRPr="00640D01">
        <w:lastRenderedPageBreak/>
        <w:t xml:space="preserve">Table </w:t>
      </w:r>
      <w:r w:rsidR="00514311">
        <w:fldChar w:fldCharType="begin"/>
      </w:r>
      <w:r w:rsidR="00514311">
        <w:instrText xml:space="preserve"> STYLEREF 1 \s </w:instrText>
      </w:r>
      <w:r w:rsidR="00514311">
        <w:fldChar w:fldCharType="separate"/>
      </w:r>
      <w:r w:rsidR="00514311">
        <w:rPr>
          <w:noProof/>
        </w:rPr>
        <w:t>5</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4</w:t>
      </w:r>
      <w:r w:rsidR="00514311">
        <w:fldChar w:fldCharType="end"/>
      </w:r>
      <w:bookmarkEnd w:id="108"/>
      <w:r w:rsidRPr="00640D01">
        <w:t>. Hourly Meteorological Data</w:t>
      </w:r>
      <w:bookmarkEnd w:id="109"/>
      <w:bookmarkEnd w:id="110"/>
    </w:p>
    <w:tbl>
      <w:tblPr>
        <w:tblStyle w:val="TableGrid"/>
        <w:tblW w:w="5000" w:type="pct"/>
        <w:jc w:val="center"/>
        <w:tblLook w:val="04A0" w:firstRow="1" w:lastRow="0" w:firstColumn="1" w:lastColumn="0" w:noHBand="0" w:noVBand="1"/>
      </w:tblPr>
      <w:tblGrid>
        <w:gridCol w:w="2516"/>
        <w:gridCol w:w="1707"/>
        <w:gridCol w:w="1709"/>
        <w:gridCol w:w="1709"/>
        <w:gridCol w:w="1709"/>
      </w:tblGrid>
      <w:tr w:rsidR="005D2E1F" w:rsidRPr="00640D01" w14:paraId="3F17AEDE" w14:textId="77777777" w:rsidTr="00CE703E">
        <w:trPr>
          <w:trHeight w:val="317"/>
          <w:jc w:val="center"/>
        </w:trPr>
        <w:tc>
          <w:tcPr>
            <w:tcW w:w="1345" w:type="pct"/>
            <w:tcBorders>
              <w:left w:val="single" w:sz="4" w:space="0" w:color="FFFFFF" w:themeColor="background1"/>
              <w:right w:val="single" w:sz="4" w:space="0" w:color="FFFFFF" w:themeColor="background1"/>
            </w:tcBorders>
            <w:shd w:val="clear" w:color="auto" w:fill="002060"/>
            <w:vAlign w:val="center"/>
          </w:tcPr>
          <w:p w14:paraId="27F9CDCF" w14:textId="77777777" w:rsidR="00EE205A" w:rsidRPr="00640D01" w:rsidRDefault="00EE205A" w:rsidP="00176A31">
            <w:pPr>
              <w:pStyle w:val="TableHeader"/>
              <w:keepNext/>
            </w:pPr>
            <w:r w:rsidRPr="00640D01">
              <w:t>Factor</w:t>
            </w:r>
          </w:p>
        </w:tc>
        <w:tc>
          <w:tcPr>
            <w:tcW w:w="3655" w:type="pct"/>
            <w:gridSpan w:val="4"/>
            <w:tcBorders>
              <w:left w:val="single" w:sz="4" w:space="0" w:color="FFFFFF" w:themeColor="background1"/>
              <w:right w:val="single" w:sz="4" w:space="0" w:color="FFFFFF" w:themeColor="background1"/>
            </w:tcBorders>
            <w:shd w:val="clear" w:color="auto" w:fill="002060"/>
            <w:vAlign w:val="center"/>
          </w:tcPr>
          <w:p w14:paraId="355954D1" w14:textId="77777777" w:rsidR="00EE205A" w:rsidRPr="00640D01" w:rsidRDefault="00EE205A" w:rsidP="00176A31">
            <w:pPr>
              <w:pStyle w:val="TableHeader"/>
              <w:keepNext/>
            </w:pPr>
            <w:r w:rsidRPr="00640D01">
              <w:t>Information</w:t>
            </w:r>
          </w:p>
        </w:tc>
      </w:tr>
      <w:tr w:rsidR="00EE205A" w:rsidRPr="00640D01" w14:paraId="4FD05067" w14:textId="77777777" w:rsidTr="00CE703E">
        <w:trPr>
          <w:trHeight w:val="317"/>
          <w:jc w:val="center"/>
        </w:trPr>
        <w:tc>
          <w:tcPr>
            <w:tcW w:w="1345" w:type="pct"/>
            <w:tcBorders>
              <w:left w:val="single" w:sz="4" w:space="0" w:color="FFFFFF" w:themeColor="background1"/>
            </w:tcBorders>
            <w:vAlign w:val="center"/>
          </w:tcPr>
          <w:p w14:paraId="0A9C456E" w14:textId="77777777" w:rsidR="00EE205A" w:rsidRPr="00640D01" w:rsidRDefault="00EE205A" w:rsidP="00176A31">
            <w:pPr>
              <w:pStyle w:val="TableHeader"/>
            </w:pPr>
            <w:r w:rsidRPr="00640D01">
              <w:t>County/Area(s)</w:t>
            </w:r>
          </w:p>
        </w:tc>
        <w:tc>
          <w:tcPr>
            <w:tcW w:w="913" w:type="pct"/>
            <w:tcBorders>
              <w:right w:val="dashed" w:sz="4" w:space="0" w:color="auto"/>
            </w:tcBorders>
            <w:vAlign w:val="center"/>
          </w:tcPr>
          <w:p w14:paraId="28204B14" w14:textId="3D5F2603" w:rsidR="00EE205A" w:rsidRPr="00640D01" w:rsidRDefault="00EE205A" w:rsidP="00176A31">
            <w:pPr>
              <w:pStyle w:val="TableHeader"/>
              <w:rPr>
                <w:color w:val="C00000"/>
              </w:rPr>
            </w:pPr>
          </w:p>
        </w:tc>
        <w:tc>
          <w:tcPr>
            <w:tcW w:w="914" w:type="pct"/>
            <w:tcBorders>
              <w:right w:val="dashed" w:sz="4" w:space="0" w:color="auto"/>
            </w:tcBorders>
            <w:vAlign w:val="center"/>
          </w:tcPr>
          <w:p w14:paraId="79ED07FE" w14:textId="0BD31F29" w:rsidR="00EE205A" w:rsidRPr="00640D01" w:rsidRDefault="00EE205A" w:rsidP="00176A31">
            <w:pPr>
              <w:pStyle w:val="TableHeader"/>
              <w:rPr>
                <w:color w:val="C00000"/>
              </w:rPr>
            </w:pPr>
          </w:p>
        </w:tc>
        <w:tc>
          <w:tcPr>
            <w:tcW w:w="914" w:type="pct"/>
            <w:tcBorders>
              <w:right w:val="dashed" w:sz="4" w:space="0" w:color="auto"/>
            </w:tcBorders>
            <w:vAlign w:val="center"/>
          </w:tcPr>
          <w:p w14:paraId="1558914A" w14:textId="40E77DD5" w:rsidR="00EE205A" w:rsidRPr="00640D01" w:rsidRDefault="00EE205A" w:rsidP="00176A31">
            <w:pPr>
              <w:pStyle w:val="TableHeader"/>
              <w:rPr>
                <w:color w:val="C00000"/>
              </w:rPr>
            </w:pPr>
          </w:p>
        </w:tc>
        <w:tc>
          <w:tcPr>
            <w:tcW w:w="914" w:type="pct"/>
            <w:tcBorders>
              <w:right w:val="single" w:sz="4" w:space="0" w:color="FFFFFF" w:themeColor="background1"/>
            </w:tcBorders>
            <w:vAlign w:val="center"/>
          </w:tcPr>
          <w:p w14:paraId="01CA7AA9" w14:textId="52FCA234" w:rsidR="00EE205A" w:rsidRPr="00640D01" w:rsidRDefault="00EE205A" w:rsidP="00176A31">
            <w:pPr>
              <w:pStyle w:val="TableHeader"/>
              <w:rPr>
                <w:color w:val="C00000"/>
              </w:rPr>
            </w:pPr>
          </w:p>
        </w:tc>
      </w:tr>
      <w:tr w:rsidR="00321877" w:rsidRPr="00640D01" w14:paraId="3DF83AB9" w14:textId="77777777" w:rsidTr="00CE703E">
        <w:trPr>
          <w:trHeight w:val="317"/>
          <w:jc w:val="center"/>
        </w:trPr>
        <w:tc>
          <w:tcPr>
            <w:tcW w:w="1345" w:type="pct"/>
            <w:tcBorders>
              <w:left w:val="single" w:sz="4" w:space="0" w:color="FFFFFF" w:themeColor="background1"/>
            </w:tcBorders>
            <w:vAlign w:val="center"/>
          </w:tcPr>
          <w:p w14:paraId="05A9634E" w14:textId="77777777" w:rsidR="00321877" w:rsidRPr="00640D01" w:rsidRDefault="00321877" w:rsidP="00176A31">
            <w:pPr>
              <w:pStyle w:val="TableHeader"/>
            </w:pPr>
            <w:r w:rsidRPr="00640D01">
              <w:t>Season</w:t>
            </w:r>
          </w:p>
        </w:tc>
        <w:tc>
          <w:tcPr>
            <w:tcW w:w="1827" w:type="pct"/>
            <w:gridSpan w:val="2"/>
            <w:tcBorders>
              <w:right w:val="dashed" w:sz="4" w:space="0" w:color="auto"/>
            </w:tcBorders>
            <w:vAlign w:val="center"/>
          </w:tcPr>
          <w:sdt>
            <w:sdtPr>
              <w:rPr>
                <w:color w:val="7030A0"/>
              </w:rPr>
              <w:id w:val="1310056609"/>
              <w:placeholder>
                <w:docPart w:val="209D357AC57C48FF9C28880CA3F47E7B"/>
              </w:placeholder>
              <w:comboBox>
                <w:listItem w:value="Choose a season."/>
                <w:listItem w:displayText="Summer" w:value="Summer"/>
                <w:listItem w:displayText="Winter" w:value="Winter"/>
                <w:listItem w:displayText="Summer and Winter" w:value="Summer and Winter"/>
              </w:comboBox>
            </w:sdtPr>
            <w:sdtContent>
              <w:p w14:paraId="6D3D4156" w14:textId="5C6D0A46" w:rsidR="00321877" w:rsidRPr="00640D01" w:rsidRDefault="00321877" w:rsidP="00176A31">
                <w:pPr>
                  <w:pStyle w:val="TableHeader"/>
                  <w:rPr>
                    <w:color w:val="7030A0"/>
                  </w:rPr>
                </w:pPr>
                <w:r w:rsidRPr="00640D01">
                  <w:rPr>
                    <w:color w:val="7030A0"/>
                  </w:rPr>
                  <w:t>Summer</w:t>
                </w:r>
              </w:p>
            </w:sdtContent>
          </w:sdt>
        </w:tc>
        <w:sdt>
          <w:sdtPr>
            <w:rPr>
              <w:color w:val="7030A0"/>
            </w:rPr>
            <w:id w:val="-122848422"/>
            <w:placeholder>
              <w:docPart w:val="0AF8B08565784A7A80A6D7A8A32C1E25"/>
            </w:placeholder>
            <w:comboBox>
              <w:listItem w:value="Choose a season."/>
              <w:listItem w:displayText="Summer" w:value="Summer"/>
              <w:listItem w:displayText="Winter" w:value="Winter"/>
              <w:listItem w:displayText="Summer and Winter" w:value="Summer and Winter"/>
            </w:comboBox>
          </w:sdtPr>
          <w:sdtContent>
            <w:tc>
              <w:tcPr>
                <w:tcW w:w="1828" w:type="pct"/>
                <w:gridSpan w:val="2"/>
                <w:tcBorders>
                  <w:right w:val="single" w:sz="4" w:space="0" w:color="FFFFFF" w:themeColor="background1"/>
                </w:tcBorders>
                <w:vAlign w:val="center"/>
              </w:tcPr>
              <w:p w14:paraId="4874A55A" w14:textId="5B0EBBFA" w:rsidR="00321877" w:rsidRPr="00640D01" w:rsidRDefault="00321877" w:rsidP="00176A31">
                <w:pPr>
                  <w:pStyle w:val="TableHeader"/>
                  <w:rPr>
                    <w:color w:val="7030A0"/>
                  </w:rPr>
                </w:pPr>
                <w:r w:rsidRPr="00640D01">
                  <w:rPr>
                    <w:color w:val="7030A0"/>
                  </w:rPr>
                  <w:t>Winter</w:t>
                </w:r>
              </w:p>
            </w:tc>
          </w:sdtContent>
        </w:sdt>
      </w:tr>
      <w:tr w:rsidR="00EE205A" w:rsidRPr="00640D01" w14:paraId="191A9A9F" w14:textId="77777777" w:rsidTr="00CE703E">
        <w:trPr>
          <w:trHeight w:val="317"/>
          <w:jc w:val="center"/>
        </w:trPr>
        <w:tc>
          <w:tcPr>
            <w:tcW w:w="1345" w:type="pct"/>
            <w:tcBorders>
              <w:left w:val="single" w:sz="4" w:space="0" w:color="FFFFFF" w:themeColor="background1"/>
            </w:tcBorders>
            <w:shd w:val="clear" w:color="auto" w:fill="E7E6E6" w:themeFill="background2"/>
            <w:vAlign w:val="center"/>
          </w:tcPr>
          <w:p w14:paraId="76F19A8E" w14:textId="77777777" w:rsidR="00EE205A" w:rsidRPr="00640D01" w:rsidRDefault="00EE205A" w:rsidP="00176A31">
            <w:pPr>
              <w:pStyle w:val="TableHeader"/>
            </w:pPr>
            <w:r w:rsidRPr="00640D01">
              <w:t>Hour</w:t>
            </w:r>
          </w:p>
        </w:tc>
        <w:tc>
          <w:tcPr>
            <w:tcW w:w="913" w:type="pct"/>
            <w:shd w:val="clear" w:color="auto" w:fill="E7E6E6" w:themeFill="background2"/>
            <w:vAlign w:val="center"/>
          </w:tcPr>
          <w:p w14:paraId="6BBA284F" w14:textId="77777777" w:rsidR="00CE703E" w:rsidRPr="00640D01" w:rsidRDefault="00EE205A" w:rsidP="00176A31">
            <w:pPr>
              <w:pStyle w:val="TableHeader"/>
            </w:pPr>
            <w:r w:rsidRPr="00640D01">
              <w:t>Temperature</w:t>
            </w:r>
          </w:p>
          <w:p w14:paraId="2DC32123" w14:textId="22FE3FB9" w:rsidR="00EE205A" w:rsidRPr="00640D01" w:rsidRDefault="00EE205A" w:rsidP="00176A31">
            <w:pPr>
              <w:pStyle w:val="TableHeader"/>
            </w:pPr>
            <w:r w:rsidRPr="00640D01">
              <w:t>(</w:t>
            </w:r>
            <w:r w:rsidR="00865CBB" w:rsidRPr="00640D01">
              <w:rPr>
                <w:rFonts w:cs="Times New Roman"/>
              </w:rPr>
              <w:t>°</w:t>
            </w:r>
            <w:r w:rsidRPr="00640D01">
              <w:t>F)</w:t>
            </w:r>
          </w:p>
        </w:tc>
        <w:tc>
          <w:tcPr>
            <w:tcW w:w="914" w:type="pct"/>
            <w:tcBorders>
              <w:right w:val="dashed" w:sz="4" w:space="0" w:color="auto"/>
            </w:tcBorders>
            <w:shd w:val="clear" w:color="auto" w:fill="E7E6E6" w:themeFill="background2"/>
            <w:vAlign w:val="center"/>
          </w:tcPr>
          <w:p w14:paraId="2844CBF8" w14:textId="77777777" w:rsidR="00CE703E" w:rsidRPr="00640D01" w:rsidRDefault="00EE205A" w:rsidP="00176A31">
            <w:pPr>
              <w:pStyle w:val="TableHeader"/>
            </w:pPr>
            <w:r w:rsidRPr="00640D01">
              <w:t xml:space="preserve">Relative Humidity </w:t>
            </w:r>
          </w:p>
          <w:p w14:paraId="31DB16C1" w14:textId="3C6FCE29" w:rsidR="00EE205A" w:rsidRPr="00640D01" w:rsidRDefault="00EE205A" w:rsidP="00176A31">
            <w:pPr>
              <w:pStyle w:val="TableHeader"/>
            </w:pPr>
            <w:r w:rsidRPr="00640D01">
              <w:t>(%)</w:t>
            </w:r>
          </w:p>
        </w:tc>
        <w:tc>
          <w:tcPr>
            <w:tcW w:w="914" w:type="pct"/>
            <w:tcBorders>
              <w:right w:val="dashed" w:sz="4" w:space="0" w:color="auto"/>
            </w:tcBorders>
            <w:shd w:val="clear" w:color="auto" w:fill="E7E6E6" w:themeFill="background2"/>
            <w:vAlign w:val="center"/>
          </w:tcPr>
          <w:p w14:paraId="6E5A62FF" w14:textId="77777777" w:rsidR="00CE703E" w:rsidRPr="00640D01" w:rsidRDefault="00EE205A" w:rsidP="00176A31">
            <w:pPr>
              <w:pStyle w:val="TableHeader"/>
            </w:pPr>
            <w:r w:rsidRPr="00640D01">
              <w:t>Temperature</w:t>
            </w:r>
          </w:p>
          <w:p w14:paraId="3D04B830" w14:textId="0EDF6976" w:rsidR="00EE205A" w:rsidRPr="00640D01" w:rsidRDefault="00EE205A" w:rsidP="00176A31">
            <w:pPr>
              <w:pStyle w:val="TableHeader"/>
            </w:pPr>
            <w:r w:rsidRPr="00640D01">
              <w:t>(</w:t>
            </w:r>
            <w:r w:rsidR="00865CBB" w:rsidRPr="00640D01">
              <w:rPr>
                <w:rFonts w:cs="Times New Roman"/>
              </w:rPr>
              <w:t>°</w:t>
            </w:r>
            <w:r w:rsidRPr="00640D01">
              <w:t>F)</w:t>
            </w:r>
          </w:p>
        </w:tc>
        <w:tc>
          <w:tcPr>
            <w:tcW w:w="914" w:type="pct"/>
            <w:tcBorders>
              <w:right w:val="single" w:sz="4" w:space="0" w:color="FFFFFF" w:themeColor="background1"/>
            </w:tcBorders>
            <w:shd w:val="clear" w:color="auto" w:fill="E7E6E6" w:themeFill="background2"/>
            <w:vAlign w:val="center"/>
          </w:tcPr>
          <w:p w14:paraId="4303FB47" w14:textId="77777777" w:rsidR="00CE703E" w:rsidRPr="00640D01" w:rsidRDefault="00EE205A" w:rsidP="00176A31">
            <w:pPr>
              <w:pStyle w:val="TableHeader"/>
            </w:pPr>
            <w:r w:rsidRPr="00640D01">
              <w:t xml:space="preserve">Relative Humidity </w:t>
            </w:r>
          </w:p>
          <w:p w14:paraId="791AED9D" w14:textId="7251B119" w:rsidR="00EE205A" w:rsidRPr="00640D01" w:rsidRDefault="00EE205A" w:rsidP="00176A31">
            <w:pPr>
              <w:pStyle w:val="TableHeader"/>
            </w:pPr>
            <w:r w:rsidRPr="00640D01">
              <w:t>(%)</w:t>
            </w:r>
          </w:p>
        </w:tc>
      </w:tr>
      <w:tr w:rsidR="00EE205A" w:rsidRPr="00640D01" w14:paraId="0E3AF29F" w14:textId="77777777" w:rsidTr="00CE703E">
        <w:trPr>
          <w:trHeight w:val="317"/>
          <w:jc w:val="center"/>
        </w:trPr>
        <w:tc>
          <w:tcPr>
            <w:tcW w:w="1345" w:type="pct"/>
            <w:tcBorders>
              <w:left w:val="single" w:sz="4" w:space="0" w:color="FFFFFF" w:themeColor="background1"/>
            </w:tcBorders>
            <w:vAlign w:val="center"/>
          </w:tcPr>
          <w:p w14:paraId="2CAA7F88" w14:textId="01F925D6" w:rsidR="00EE205A" w:rsidRPr="00640D01" w:rsidRDefault="00EE205A" w:rsidP="00B95FFB">
            <w:pPr>
              <w:pStyle w:val="TableText"/>
            </w:pPr>
            <w:r w:rsidRPr="00640D01">
              <w:t>00:00</w:t>
            </w:r>
            <w:r w:rsidR="00A239E7" w:rsidRPr="00640D01">
              <w:t xml:space="preserve"> </w:t>
            </w:r>
            <w:r w:rsidR="009C54DD" w:rsidRPr="00640D01">
              <w:t>a.m.–</w:t>
            </w:r>
            <w:r w:rsidR="00A239E7" w:rsidRPr="00640D01">
              <w:t>0</w:t>
            </w:r>
            <w:r w:rsidRPr="00640D01">
              <w:t>1:00</w:t>
            </w:r>
            <w:r w:rsidR="00A239E7" w:rsidRPr="00640D01">
              <w:t xml:space="preserve"> </w:t>
            </w:r>
            <w:r w:rsidR="009C54DD" w:rsidRPr="00640D01">
              <w:t>a.m.</w:t>
            </w:r>
          </w:p>
        </w:tc>
        <w:tc>
          <w:tcPr>
            <w:tcW w:w="913" w:type="pct"/>
            <w:vAlign w:val="center"/>
          </w:tcPr>
          <w:p w14:paraId="23EB5FF8" w14:textId="2F9456A8" w:rsidR="00EE205A" w:rsidRPr="00640D01" w:rsidRDefault="00EE205A" w:rsidP="00B95FFB">
            <w:pPr>
              <w:pStyle w:val="TableText"/>
              <w:rPr>
                <w:color w:val="4C0203"/>
              </w:rPr>
            </w:pPr>
          </w:p>
        </w:tc>
        <w:tc>
          <w:tcPr>
            <w:tcW w:w="914" w:type="pct"/>
            <w:tcBorders>
              <w:right w:val="dashed" w:sz="4" w:space="0" w:color="auto"/>
            </w:tcBorders>
            <w:vAlign w:val="center"/>
          </w:tcPr>
          <w:p w14:paraId="17CD8596" w14:textId="2E0C7940" w:rsidR="00EE205A" w:rsidRPr="00640D01" w:rsidRDefault="00EE205A" w:rsidP="00B95FFB">
            <w:pPr>
              <w:pStyle w:val="TableText"/>
              <w:rPr>
                <w:color w:val="4C0203"/>
              </w:rPr>
            </w:pPr>
          </w:p>
        </w:tc>
        <w:tc>
          <w:tcPr>
            <w:tcW w:w="914" w:type="pct"/>
            <w:tcBorders>
              <w:right w:val="dashed" w:sz="4" w:space="0" w:color="auto"/>
            </w:tcBorders>
            <w:vAlign w:val="center"/>
          </w:tcPr>
          <w:p w14:paraId="428A92D3" w14:textId="2EA5E9F0"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592F7F7E" w14:textId="06420AD3" w:rsidR="00EE205A" w:rsidRPr="00640D01" w:rsidRDefault="00EE205A" w:rsidP="00B95FFB">
            <w:pPr>
              <w:pStyle w:val="TableText"/>
              <w:rPr>
                <w:color w:val="4C0203"/>
              </w:rPr>
            </w:pPr>
          </w:p>
        </w:tc>
      </w:tr>
      <w:tr w:rsidR="00EE205A" w:rsidRPr="00640D01" w14:paraId="06A7BED2" w14:textId="77777777" w:rsidTr="00CE703E">
        <w:trPr>
          <w:trHeight w:val="317"/>
          <w:jc w:val="center"/>
        </w:trPr>
        <w:tc>
          <w:tcPr>
            <w:tcW w:w="1345" w:type="pct"/>
            <w:tcBorders>
              <w:left w:val="single" w:sz="4" w:space="0" w:color="FFFFFF" w:themeColor="background1"/>
            </w:tcBorders>
            <w:vAlign w:val="center"/>
          </w:tcPr>
          <w:p w14:paraId="067A7C2E" w14:textId="4336AD29" w:rsidR="00EE205A" w:rsidRPr="00640D01" w:rsidRDefault="003B7CA2" w:rsidP="00B95FFB">
            <w:pPr>
              <w:pStyle w:val="TableText"/>
            </w:pPr>
            <w:r w:rsidRPr="00640D01">
              <w:t>0</w:t>
            </w:r>
            <w:r w:rsidR="00EE205A" w:rsidRPr="00640D01">
              <w:t>1:00</w:t>
            </w:r>
            <w:r w:rsidR="00A239E7" w:rsidRPr="00640D01">
              <w:t xml:space="preserve"> </w:t>
            </w:r>
            <w:r w:rsidR="009C54DD" w:rsidRPr="00640D01">
              <w:t>a.m.–</w:t>
            </w:r>
            <w:r w:rsidR="00A239E7" w:rsidRPr="00640D01">
              <w:t>0</w:t>
            </w:r>
            <w:r w:rsidR="00EE205A" w:rsidRPr="00640D01">
              <w:t>2:00</w:t>
            </w:r>
            <w:r w:rsidR="00A239E7" w:rsidRPr="00640D01">
              <w:t xml:space="preserve"> </w:t>
            </w:r>
            <w:r w:rsidR="009C54DD" w:rsidRPr="00640D01">
              <w:t>a.m.</w:t>
            </w:r>
          </w:p>
        </w:tc>
        <w:tc>
          <w:tcPr>
            <w:tcW w:w="913" w:type="pct"/>
            <w:vAlign w:val="center"/>
          </w:tcPr>
          <w:p w14:paraId="23FAAFF4" w14:textId="4E819A76" w:rsidR="00EE205A" w:rsidRPr="00640D01" w:rsidRDefault="00EE205A" w:rsidP="00B95FFB">
            <w:pPr>
              <w:pStyle w:val="TableText"/>
              <w:rPr>
                <w:color w:val="4C0203"/>
              </w:rPr>
            </w:pPr>
          </w:p>
        </w:tc>
        <w:tc>
          <w:tcPr>
            <w:tcW w:w="914" w:type="pct"/>
            <w:tcBorders>
              <w:right w:val="dashed" w:sz="4" w:space="0" w:color="auto"/>
            </w:tcBorders>
            <w:vAlign w:val="center"/>
          </w:tcPr>
          <w:p w14:paraId="633CE2CE" w14:textId="4561A848" w:rsidR="00EE205A" w:rsidRPr="00640D01" w:rsidRDefault="00EE205A" w:rsidP="00B95FFB">
            <w:pPr>
              <w:pStyle w:val="TableText"/>
              <w:rPr>
                <w:color w:val="4C0203"/>
              </w:rPr>
            </w:pPr>
          </w:p>
        </w:tc>
        <w:tc>
          <w:tcPr>
            <w:tcW w:w="914" w:type="pct"/>
            <w:tcBorders>
              <w:right w:val="dashed" w:sz="4" w:space="0" w:color="auto"/>
            </w:tcBorders>
            <w:vAlign w:val="center"/>
          </w:tcPr>
          <w:p w14:paraId="31D5D766" w14:textId="22377A75"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73B5205E" w14:textId="68CD2CAB" w:rsidR="00EE205A" w:rsidRPr="00640D01" w:rsidRDefault="00EE205A" w:rsidP="00B95FFB">
            <w:pPr>
              <w:pStyle w:val="TableText"/>
              <w:rPr>
                <w:color w:val="4C0203"/>
              </w:rPr>
            </w:pPr>
          </w:p>
        </w:tc>
      </w:tr>
      <w:tr w:rsidR="00EE205A" w:rsidRPr="00640D01" w14:paraId="65E628A2" w14:textId="77777777" w:rsidTr="00CE703E">
        <w:trPr>
          <w:trHeight w:val="317"/>
          <w:jc w:val="center"/>
        </w:trPr>
        <w:tc>
          <w:tcPr>
            <w:tcW w:w="1345" w:type="pct"/>
            <w:tcBorders>
              <w:left w:val="single" w:sz="4" w:space="0" w:color="FFFFFF" w:themeColor="background1"/>
            </w:tcBorders>
            <w:vAlign w:val="center"/>
          </w:tcPr>
          <w:p w14:paraId="6C503DC0" w14:textId="46045087" w:rsidR="00EE205A" w:rsidRPr="00640D01" w:rsidRDefault="003B7CA2" w:rsidP="00B95FFB">
            <w:pPr>
              <w:pStyle w:val="TableText"/>
            </w:pPr>
            <w:r w:rsidRPr="00640D01">
              <w:t>0</w:t>
            </w:r>
            <w:r w:rsidR="00EE205A" w:rsidRPr="00640D01">
              <w:t>2:00</w:t>
            </w:r>
            <w:r w:rsidR="00A239E7" w:rsidRPr="00640D01">
              <w:t xml:space="preserve"> </w:t>
            </w:r>
            <w:r w:rsidR="009C54DD" w:rsidRPr="00640D01">
              <w:t>a.m.–</w:t>
            </w:r>
            <w:r w:rsidR="00A239E7" w:rsidRPr="00640D01">
              <w:t>0</w:t>
            </w:r>
            <w:r w:rsidR="00EE205A" w:rsidRPr="00640D01">
              <w:t>3:00</w:t>
            </w:r>
            <w:r w:rsidR="00A239E7" w:rsidRPr="00640D01">
              <w:t xml:space="preserve"> </w:t>
            </w:r>
            <w:r w:rsidR="009C54DD" w:rsidRPr="00640D01">
              <w:t>a.m.</w:t>
            </w:r>
          </w:p>
        </w:tc>
        <w:tc>
          <w:tcPr>
            <w:tcW w:w="913" w:type="pct"/>
            <w:vAlign w:val="center"/>
          </w:tcPr>
          <w:p w14:paraId="5D5DE92E" w14:textId="3CC07689" w:rsidR="00EE205A" w:rsidRPr="00640D01" w:rsidRDefault="00EE205A" w:rsidP="00B95FFB">
            <w:pPr>
              <w:pStyle w:val="TableText"/>
              <w:rPr>
                <w:color w:val="4C0203"/>
              </w:rPr>
            </w:pPr>
          </w:p>
        </w:tc>
        <w:tc>
          <w:tcPr>
            <w:tcW w:w="914" w:type="pct"/>
            <w:tcBorders>
              <w:right w:val="dashed" w:sz="4" w:space="0" w:color="auto"/>
            </w:tcBorders>
            <w:vAlign w:val="center"/>
          </w:tcPr>
          <w:p w14:paraId="76C7826B" w14:textId="60808022" w:rsidR="00EE205A" w:rsidRPr="00640D01" w:rsidRDefault="00EE205A" w:rsidP="00B95FFB">
            <w:pPr>
              <w:pStyle w:val="TableText"/>
              <w:rPr>
                <w:color w:val="4C0203"/>
              </w:rPr>
            </w:pPr>
          </w:p>
        </w:tc>
        <w:tc>
          <w:tcPr>
            <w:tcW w:w="914" w:type="pct"/>
            <w:tcBorders>
              <w:right w:val="dashed" w:sz="4" w:space="0" w:color="auto"/>
            </w:tcBorders>
            <w:vAlign w:val="center"/>
          </w:tcPr>
          <w:p w14:paraId="5EE3349C" w14:textId="378410AD"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4D663AAF" w14:textId="5D0F8592" w:rsidR="00EE205A" w:rsidRPr="00640D01" w:rsidRDefault="00EE205A" w:rsidP="00B95FFB">
            <w:pPr>
              <w:pStyle w:val="TableText"/>
              <w:rPr>
                <w:color w:val="4C0203"/>
              </w:rPr>
            </w:pPr>
          </w:p>
        </w:tc>
      </w:tr>
      <w:tr w:rsidR="00EE205A" w:rsidRPr="00640D01" w14:paraId="3246D5FB" w14:textId="77777777" w:rsidTr="00CE703E">
        <w:trPr>
          <w:trHeight w:val="317"/>
          <w:jc w:val="center"/>
        </w:trPr>
        <w:tc>
          <w:tcPr>
            <w:tcW w:w="1345" w:type="pct"/>
            <w:tcBorders>
              <w:left w:val="single" w:sz="4" w:space="0" w:color="FFFFFF" w:themeColor="background1"/>
            </w:tcBorders>
            <w:vAlign w:val="center"/>
          </w:tcPr>
          <w:p w14:paraId="49B1BF9E" w14:textId="42E03D87" w:rsidR="00EE205A" w:rsidRPr="00640D01" w:rsidRDefault="003B7CA2" w:rsidP="00B95FFB">
            <w:pPr>
              <w:pStyle w:val="TableText"/>
            </w:pPr>
            <w:r w:rsidRPr="00640D01">
              <w:t>0</w:t>
            </w:r>
            <w:r w:rsidR="00EE205A" w:rsidRPr="00640D01">
              <w:t>3:00</w:t>
            </w:r>
            <w:r w:rsidR="00A239E7" w:rsidRPr="00640D01">
              <w:t xml:space="preserve"> </w:t>
            </w:r>
            <w:r w:rsidR="009C54DD" w:rsidRPr="00640D01">
              <w:t>a.m.–</w:t>
            </w:r>
            <w:r w:rsidR="00A239E7" w:rsidRPr="00640D01">
              <w:t>0</w:t>
            </w:r>
            <w:r w:rsidR="00EE205A" w:rsidRPr="00640D01">
              <w:t>4:00</w:t>
            </w:r>
            <w:r w:rsidR="00A239E7" w:rsidRPr="00640D01">
              <w:t xml:space="preserve"> </w:t>
            </w:r>
            <w:r w:rsidR="009C54DD" w:rsidRPr="00640D01">
              <w:t>a.m.</w:t>
            </w:r>
          </w:p>
        </w:tc>
        <w:tc>
          <w:tcPr>
            <w:tcW w:w="913" w:type="pct"/>
            <w:vAlign w:val="center"/>
          </w:tcPr>
          <w:p w14:paraId="4310F866" w14:textId="1E740B1B" w:rsidR="00EE205A" w:rsidRPr="00640D01" w:rsidRDefault="00EE205A" w:rsidP="00B95FFB">
            <w:pPr>
              <w:pStyle w:val="TableText"/>
              <w:rPr>
                <w:color w:val="4C0203"/>
              </w:rPr>
            </w:pPr>
          </w:p>
        </w:tc>
        <w:tc>
          <w:tcPr>
            <w:tcW w:w="914" w:type="pct"/>
            <w:tcBorders>
              <w:right w:val="dashed" w:sz="4" w:space="0" w:color="auto"/>
            </w:tcBorders>
            <w:vAlign w:val="center"/>
          </w:tcPr>
          <w:p w14:paraId="7D163F63" w14:textId="08D2EA52" w:rsidR="00EE205A" w:rsidRPr="00640D01" w:rsidRDefault="00EE205A" w:rsidP="00B95FFB">
            <w:pPr>
              <w:pStyle w:val="TableText"/>
              <w:rPr>
                <w:color w:val="4C0203"/>
              </w:rPr>
            </w:pPr>
          </w:p>
        </w:tc>
        <w:tc>
          <w:tcPr>
            <w:tcW w:w="914" w:type="pct"/>
            <w:tcBorders>
              <w:right w:val="dashed" w:sz="4" w:space="0" w:color="auto"/>
            </w:tcBorders>
            <w:vAlign w:val="center"/>
          </w:tcPr>
          <w:p w14:paraId="598AAD1A" w14:textId="40BF6001"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381FAD44" w14:textId="3E904BF9" w:rsidR="00EE205A" w:rsidRPr="00640D01" w:rsidRDefault="00EE205A" w:rsidP="00B95FFB">
            <w:pPr>
              <w:pStyle w:val="TableText"/>
              <w:rPr>
                <w:color w:val="4C0203"/>
              </w:rPr>
            </w:pPr>
          </w:p>
        </w:tc>
      </w:tr>
      <w:tr w:rsidR="00EE205A" w:rsidRPr="00640D01" w14:paraId="2331149B" w14:textId="77777777" w:rsidTr="00CE703E">
        <w:trPr>
          <w:trHeight w:val="317"/>
          <w:jc w:val="center"/>
        </w:trPr>
        <w:tc>
          <w:tcPr>
            <w:tcW w:w="1345" w:type="pct"/>
            <w:tcBorders>
              <w:left w:val="single" w:sz="4" w:space="0" w:color="FFFFFF" w:themeColor="background1"/>
            </w:tcBorders>
            <w:vAlign w:val="center"/>
          </w:tcPr>
          <w:p w14:paraId="628BD493" w14:textId="3D82CB73" w:rsidR="00EE205A" w:rsidRPr="00640D01" w:rsidRDefault="003B7CA2" w:rsidP="00B95FFB">
            <w:pPr>
              <w:pStyle w:val="TableText"/>
            </w:pPr>
            <w:r w:rsidRPr="00640D01">
              <w:t>0</w:t>
            </w:r>
            <w:r w:rsidR="00EE205A" w:rsidRPr="00640D01">
              <w:t>4:00</w:t>
            </w:r>
            <w:r w:rsidR="00A239E7" w:rsidRPr="00640D01">
              <w:t xml:space="preserve"> </w:t>
            </w:r>
            <w:r w:rsidR="009C54DD" w:rsidRPr="00640D01">
              <w:t>a.m.–</w:t>
            </w:r>
            <w:r w:rsidR="00A239E7" w:rsidRPr="00640D01">
              <w:t>0</w:t>
            </w:r>
            <w:r w:rsidR="00EE205A" w:rsidRPr="00640D01">
              <w:t>5:00</w:t>
            </w:r>
            <w:r w:rsidR="00A239E7" w:rsidRPr="00640D01">
              <w:t xml:space="preserve"> </w:t>
            </w:r>
            <w:r w:rsidR="009C54DD" w:rsidRPr="00640D01">
              <w:t>a.m.</w:t>
            </w:r>
          </w:p>
        </w:tc>
        <w:tc>
          <w:tcPr>
            <w:tcW w:w="913" w:type="pct"/>
            <w:vAlign w:val="center"/>
          </w:tcPr>
          <w:p w14:paraId="2966F5CD" w14:textId="2A80FD84" w:rsidR="00EE205A" w:rsidRPr="00640D01" w:rsidRDefault="00EE205A" w:rsidP="00B95FFB">
            <w:pPr>
              <w:pStyle w:val="TableText"/>
              <w:rPr>
                <w:color w:val="4C0203"/>
              </w:rPr>
            </w:pPr>
          </w:p>
        </w:tc>
        <w:tc>
          <w:tcPr>
            <w:tcW w:w="914" w:type="pct"/>
            <w:tcBorders>
              <w:right w:val="dashed" w:sz="4" w:space="0" w:color="auto"/>
            </w:tcBorders>
            <w:vAlign w:val="center"/>
          </w:tcPr>
          <w:p w14:paraId="6DF0909D" w14:textId="2C03D7F8" w:rsidR="00EE205A" w:rsidRPr="00640D01" w:rsidRDefault="00EE205A" w:rsidP="00B95FFB">
            <w:pPr>
              <w:pStyle w:val="TableText"/>
              <w:rPr>
                <w:color w:val="4C0203"/>
              </w:rPr>
            </w:pPr>
          </w:p>
        </w:tc>
        <w:tc>
          <w:tcPr>
            <w:tcW w:w="914" w:type="pct"/>
            <w:tcBorders>
              <w:right w:val="dashed" w:sz="4" w:space="0" w:color="auto"/>
            </w:tcBorders>
            <w:vAlign w:val="center"/>
          </w:tcPr>
          <w:p w14:paraId="40E8BA64" w14:textId="398E87FD"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3B4362C6" w14:textId="64DAD0F1" w:rsidR="00EE205A" w:rsidRPr="00640D01" w:rsidRDefault="00EE205A" w:rsidP="00B95FFB">
            <w:pPr>
              <w:pStyle w:val="TableText"/>
              <w:rPr>
                <w:color w:val="4C0203"/>
              </w:rPr>
            </w:pPr>
          </w:p>
        </w:tc>
      </w:tr>
      <w:tr w:rsidR="00EE205A" w:rsidRPr="00640D01" w14:paraId="5FB45B78" w14:textId="77777777" w:rsidTr="00CE703E">
        <w:trPr>
          <w:trHeight w:val="317"/>
          <w:jc w:val="center"/>
        </w:trPr>
        <w:tc>
          <w:tcPr>
            <w:tcW w:w="1345" w:type="pct"/>
            <w:tcBorders>
              <w:left w:val="single" w:sz="4" w:space="0" w:color="FFFFFF" w:themeColor="background1"/>
            </w:tcBorders>
            <w:vAlign w:val="center"/>
          </w:tcPr>
          <w:p w14:paraId="2CF04D82" w14:textId="4340A58F" w:rsidR="00EE205A" w:rsidRPr="00640D01" w:rsidRDefault="003B7CA2" w:rsidP="00B95FFB">
            <w:pPr>
              <w:pStyle w:val="TableText"/>
            </w:pPr>
            <w:r w:rsidRPr="00640D01">
              <w:t>0</w:t>
            </w:r>
            <w:r w:rsidR="00EE205A" w:rsidRPr="00640D01">
              <w:t>5:00</w:t>
            </w:r>
            <w:r w:rsidR="00A239E7" w:rsidRPr="00640D01">
              <w:t xml:space="preserve"> </w:t>
            </w:r>
            <w:r w:rsidR="009C54DD" w:rsidRPr="00640D01">
              <w:t>a.m.–</w:t>
            </w:r>
            <w:r w:rsidR="00A239E7" w:rsidRPr="00640D01">
              <w:t>0</w:t>
            </w:r>
            <w:r w:rsidR="00EE205A" w:rsidRPr="00640D01">
              <w:t>6:00</w:t>
            </w:r>
            <w:r w:rsidR="00A239E7" w:rsidRPr="00640D01">
              <w:t xml:space="preserve"> </w:t>
            </w:r>
            <w:r w:rsidR="009C54DD" w:rsidRPr="00640D01">
              <w:t>a.m.</w:t>
            </w:r>
          </w:p>
        </w:tc>
        <w:tc>
          <w:tcPr>
            <w:tcW w:w="913" w:type="pct"/>
            <w:vAlign w:val="center"/>
          </w:tcPr>
          <w:p w14:paraId="19DA4DD8" w14:textId="7859823E" w:rsidR="00EE205A" w:rsidRPr="00640D01" w:rsidRDefault="00EE205A" w:rsidP="00B95FFB">
            <w:pPr>
              <w:pStyle w:val="TableText"/>
              <w:rPr>
                <w:color w:val="4C0203"/>
              </w:rPr>
            </w:pPr>
          </w:p>
        </w:tc>
        <w:tc>
          <w:tcPr>
            <w:tcW w:w="914" w:type="pct"/>
            <w:tcBorders>
              <w:right w:val="dashed" w:sz="4" w:space="0" w:color="auto"/>
            </w:tcBorders>
            <w:vAlign w:val="center"/>
          </w:tcPr>
          <w:p w14:paraId="66E9143C" w14:textId="7EE6D3D5" w:rsidR="00EE205A" w:rsidRPr="00640D01" w:rsidRDefault="00EE205A" w:rsidP="00B95FFB">
            <w:pPr>
              <w:pStyle w:val="TableText"/>
              <w:rPr>
                <w:color w:val="4C0203"/>
              </w:rPr>
            </w:pPr>
          </w:p>
        </w:tc>
        <w:tc>
          <w:tcPr>
            <w:tcW w:w="914" w:type="pct"/>
            <w:tcBorders>
              <w:right w:val="dashed" w:sz="4" w:space="0" w:color="auto"/>
            </w:tcBorders>
            <w:vAlign w:val="center"/>
          </w:tcPr>
          <w:p w14:paraId="16BA278D" w14:textId="29B0CE4B"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7E8C1952" w14:textId="318A822D" w:rsidR="00EE205A" w:rsidRPr="00640D01" w:rsidRDefault="00EE205A" w:rsidP="00B95FFB">
            <w:pPr>
              <w:pStyle w:val="TableText"/>
              <w:rPr>
                <w:color w:val="4C0203"/>
              </w:rPr>
            </w:pPr>
          </w:p>
        </w:tc>
      </w:tr>
      <w:tr w:rsidR="00EE205A" w:rsidRPr="00640D01" w14:paraId="3AC567CB" w14:textId="77777777" w:rsidTr="00CE703E">
        <w:trPr>
          <w:trHeight w:val="317"/>
          <w:jc w:val="center"/>
        </w:trPr>
        <w:tc>
          <w:tcPr>
            <w:tcW w:w="1345" w:type="pct"/>
            <w:tcBorders>
              <w:left w:val="single" w:sz="4" w:space="0" w:color="FFFFFF" w:themeColor="background1"/>
            </w:tcBorders>
            <w:vAlign w:val="center"/>
          </w:tcPr>
          <w:p w14:paraId="2525EE07" w14:textId="1482D96F" w:rsidR="00EE205A" w:rsidRPr="00640D01" w:rsidRDefault="003B7CA2" w:rsidP="00B95FFB">
            <w:pPr>
              <w:pStyle w:val="TableText"/>
            </w:pPr>
            <w:r w:rsidRPr="00640D01">
              <w:t>0</w:t>
            </w:r>
            <w:r w:rsidR="00EE205A" w:rsidRPr="00640D01">
              <w:t>6:00</w:t>
            </w:r>
            <w:r w:rsidR="004C3DD6" w:rsidRPr="00640D01">
              <w:t xml:space="preserve"> </w:t>
            </w:r>
            <w:r w:rsidR="009C54DD" w:rsidRPr="00640D01">
              <w:t>a.m.–</w:t>
            </w:r>
            <w:r w:rsidR="00A239E7" w:rsidRPr="00640D01">
              <w:t>0</w:t>
            </w:r>
            <w:r w:rsidR="00EE205A" w:rsidRPr="00640D01">
              <w:t>7:00</w:t>
            </w:r>
            <w:r w:rsidR="004C3DD6" w:rsidRPr="00640D01">
              <w:t xml:space="preserve"> </w:t>
            </w:r>
            <w:r w:rsidR="009C54DD" w:rsidRPr="00640D01">
              <w:t>a.m.</w:t>
            </w:r>
          </w:p>
        </w:tc>
        <w:tc>
          <w:tcPr>
            <w:tcW w:w="913" w:type="pct"/>
            <w:vAlign w:val="center"/>
          </w:tcPr>
          <w:p w14:paraId="3B293771" w14:textId="4D2A40FF" w:rsidR="00EE205A" w:rsidRPr="00640D01" w:rsidRDefault="00EE205A" w:rsidP="00B95FFB">
            <w:pPr>
              <w:pStyle w:val="TableText"/>
              <w:rPr>
                <w:color w:val="4C0203"/>
              </w:rPr>
            </w:pPr>
          </w:p>
        </w:tc>
        <w:tc>
          <w:tcPr>
            <w:tcW w:w="914" w:type="pct"/>
            <w:tcBorders>
              <w:right w:val="dashed" w:sz="4" w:space="0" w:color="auto"/>
            </w:tcBorders>
            <w:vAlign w:val="center"/>
          </w:tcPr>
          <w:p w14:paraId="3740CD08" w14:textId="168D7E12" w:rsidR="00EE205A" w:rsidRPr="00640D01" w:rsidRDefault="00EE205A" w:rsidP="00B95FFB">
            <w:pPr>
              <w:pStyle w:val="TableText"/>
              <w:rPr>
                <w:color w:val="4C0203"/>
              </w:rPr>
            </w:pPr>
          </w:p>
        </w:tc>
        <w:tc>
          <w:tcPr>
            <w:tcW w:w="914" w:type="pct"/>
            <w:tcBorders>
              <w:right w:val="dashed" w:sz="4" w:space="0" w:color="auto"/>
            </w:tcBorders>
            <w:vAlign w:val="center"/>
          </w:tcPr>
          <w:p w14:paraId="4C0683B9" w14:textId="539858A4"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30F8258D" w14:textId="1CE68C12" w:rsidR="00EE205A" w:rsidRPr="00640D01" w:rsidRDefault="00EE205A" w:rsidP="00B95FFB">
            <w:pPr>
              <w:pStyle w:val="TableText"/>
              <w:rPr>
                <w:color w:val="4C0203"/>
              </w:rPr>
            </w:pPr>
          </w:p>
        </w:tc>
      </w:tr>
      <w:tr w:rsidR="00EE205A" w:rsidRPr="00640D01" w14:paraId="4D98CD01" w14:textId="77777777" w:rsidTr="00CE703E">
        <w:trPr>
          <w:trHeight w:val="317"/>
          <w:jc w:val="center"/>
        </w:trPr>
        <w:tc>
          <w:tcPr>
            <w:tcW w:w="1345" w:type="pct"/>
            <w:tcBorders>
              <w:left w:val="single" w:sz="4" w:space="0" w:color="FFFFFF" w:themeColor="background1"/>
            </w:tcBorders>
            <w:vAlign w:val="center"/>
          </w:tcPr>
          <w:p w14:paraId="422B9ADB" w14:textId="28671E05" w:rsidR="00EE205A" w:rsidRPr="00640D01" w:rsidRDefault="003B7CA2" w:rsidP="00B95FFB">
            <w:pPr>
              <w:pStyle w:val="TableText"/>
            </w:pPr>
            <w:r w:rsidRPr="00640D01">
              <w:t>0</w:t>
            </w:r>
            <w:r w:rsidR="00EE205A" w:rsidRPr="00640D01">
              <w:t>7:00</w:t>
            </w:r>
            <w:r w:rsidR="004C3DD6" w:rsidRPr="00640D01">
              <w:t xml:space="preserve"> </w:t>
            </w:r>
            <w:r w:rsidR="009C54DD" w:rsidRPr="00640D01">
              <w:t>a.m.–</w:t>
            </w:r>
            <w:r w:rsidR="00A239E7" w:rsidRPr="00640D01">
              <w:t>0</w:t>
            </w:r>
            <w:r w:rsidR="00EE205A" w:rsidRPr="00640D01">
              <w:t>8:00</w:t>
            </w:r>
            <w:r w:rsidR="004C3DD6" w:rsidRPr="00640D01">
              <w:t xml:space="preserve"> </w:t>
            </w:r>
            <w:r w:rsidR="009C54DD" w:rsidRPr="00640D01">
              <w:t>a.m.</w:t>
            </w:r>
          </w:p>
        </w:tc>
        <w:tc>
          <w:tcPr>
            <w:tcW w:w="913" w:type="pct"/>
            <w:vAlign w:val="center"/>
          </w:tcPr>
          <w:p w14:paraId="1DE0A1AC" w14:textId="39E36948" w:rsidR="00EE205A" w:rsidRPr="00640D01" w:rsidRDefault="00EE205A" w:rsidP="00B95FFB">
            <w:pPr>
              <w:pStyle w:val="TableText"/>
              <w:rPr>
                <w:color w:val="4C0203"/>
              </w:rPr>
            </w:pPr>
          </w:p>
        </w:tc>
        <w:tc>
          <w:tcPr>
            <w:tcW w:w="914" w:type="pct"/>
            <w:tcBorders>
              <w:right w:val="dashed" w:sz="4" w:space="0" w:color="auto"/>
            </w:tcBorders>
            <w:vAlign w:val="center"/>
          </w:tcPr>
          <w:p w14:paraId="4DA6FC5B" w14:textId="5D26F074" w:rsidR="00EE205A" w:rsidRPr="00640D01" w:rsidRDefault="00EE205A" w:rsidP="00B95FFB">
            <w:pPr>
              <w:pStyle w:val="TableText"/>
              <w:rPr>
                <w:color w:val="4C0203"/>
              </w:rPr>
            </w:pPr>
          </w:p>
        </w:tc>
        <w:tc>
          <w:tcPr>
            <w:tcW w:w="914" w:type="pct"/>
            <w:tcBorders>
              <w:right w:val="dashed" w:sz="4" w:space="0" w:color="auto"/>
            </w:tcBorders>
            <w:vAlign w:val="center"/>
          </w:tcPr>
          <w:p w14:paraId="1A2C03BB" w14:textId="166FE167"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2597DA27" w14:textId="690C42E9" w:rsidR="00EE205A" w:rsidRPr="00640D01" w:rsidRDefault="00EE205A" w:rsidP="00B95FFB">
            <w:pPr>
              <w:pStyle w:val="TableText"/>
              <w:rPr>
                <w:color w:val="4C0203"/>
              </w:rPr>
            </w:pPr>
          </w:p>
        </w:tc>
      </w:tr>
      <w:tr w:rsidR="00EE205A" w:rsidRPr="00640D01" w14:paraId="72C31D6D" w14:textId="77777777" w:rsidTr="00CE703E">
        <w:trPr>
          <w:trHeight w:val="317"/>
          <w:jc w:val="center"/>
        </w:trPr>
        <w:tc>
          <w:tcPr>
            <w:tcW w:w="1345" w:type="pct"/>
            <w:tcBorders>
              <w:left w:val="single" w:sz="4" w:space="0" w:color="FFFFFF" w:themeColor="background1"/>
            </w:tcBorders>
            <w:vAlign w:val="center"/>
          </w:tcPr>
          <w:p w14:paraId="79FD7A19" w14:textId="42188C89" w:rsidR="00EE205A" w:rsidRPr="00640D01" w:rsidRDefault="003B7CA2" w:rsidP="00B95FFB">
            <w:pPr>
              <w:pStyle w:val="TableText"/>
            </w:pPr>
            <w:r w:rsidRPr="00640D01">
              <w:t>0</w:t>
            </w:r>
            <w:r w:rsidR="00EE205A" w:rsidRPr="00640D01">
              <w:t>8:00</w:t>
            </w:r>
            <w:r w:rsidR="004C3DD6" w:rsidRPr="00640D01">
              <w:t xml:space="preserve"> </w:t>
            </w:r>
            <w:r w:rsidR="009C54DD" w:rsidRPr="00640D01">
              <w:t>a.m.–</w:t>
            </w:r>
            <w:r w:rsidR="00A239E7" w:rsidRPr="00640D01">
              <w:t>0</w:t>
            </w:r>
            <w:r w:rsidR="00EE205A" w:rsidRPr="00640D01">
              <w:t>9:00</w:t>
            </w:r>
            <w:r w:rsidR="004C3DD6" w:rsidRPr="00640D01">
              <w:t xml:space="preserve"> </w:t>
            </w:r>
            <w:r w:rsidR="009C54DD" w:rsidRPr="00640D01">
              <w:t>a.m.</w:t>
            </w:r>
          </w:p>
        </w:tc>
        <w:tc>
          <w:tcPr>
            <w:tcW w:w="913" w:type="pct"/>
            <w:vAlign w:val="center"/>
          </w:tcPr>
          <w:p w14:paraId="0C421004" w14:textId="79B32A54" w:rsidR="00EE205A" w:rsidRPr="00640D01" w:rsidRDefault="00EE205A" w:rsidP="00B95FFB">
            <w:pPr>
              <w:pStyle w:val="TableText"/>
              <w:rPr>
                <w:color w:val="4C0203"/>
              </w:rPr>
            </w:pPr>
          </w:p>
        </w:tc>
        <w:tc>
          <w:tcPr>
            <w:tcW w:w="914" w:type="pct"/>
            <w:tcBorders>
              <w:right w:val="dashed" w:sz="4" w:space="0" w:color="auto"/>
            </w:tcBorders>
            <w:vAlign w:val="center"/>
          </w:tcPr>
          <w:p w14:paraId="5D6D118A" w14:textId="71202833" w:rsidR="00EE205A" w:rsidRPr="00640D01" w:rsidRDefault="00EE205A" w:rsidP="00B95FFB">
            <w:pPr>
              <w:pStyle w:val="TableText"/>
              <w:rPr>
                <w:color w:val="4C0203"/>
              </w:rPr>
            </w:pPr>
          </w:p>
        </w:tc>
        <w:tc>
          <w:tcPr>
            <w:tcW w:w="914" w:type="pct"/>
            <w:tcBorders>
              <w:right w:val="dashed" w:sz="4" w:space="0" w:color="auto"/>
            </w:tcBorders>
            <w:vAlign w:val="center"/>
          </w:tcPr>
          <w:p w14:paraId="3C46BBCA" w14:textId="257ABFE3"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009F1A5D" w14:textId="644AD282" w:rsidR="00EE205A" w:rsidRPr="00640D01" w:rsidRDefault="00EE205A" w:rsidP="00B95FFB">
            <w:pPr>
              <w:pStyle w:val="TableText"/>
              <w:rPr>
                <w:color w:val="4C0203"/>
              </w:rPr>
            </w:pPr>
          </w:p>
        </w:tc>
      </w:tr>
      <w:tr w:rsidR="00EE205A" w:rsidRPr="00640D01" w14:paraId="3D2DC2F8" w14:textId="77777777" w:rsidTr="00CE703E">
        <w:trPr>
          <w:trHeight w:val="317"/>
          <w:jc w:val="center"/>
        </w:trPr>
        <w:tc>
          <w:tcPr>
            <w:tcW w:w="1345" w:type="pct"/>
            <w:tcBorders>
              <w:left w:val="single" w:sz="4" w:space="0" w:color="FFFFFF" w:themeColor="background1"/>
            </w:tcBorders>
            <w:vAlign w:val="center"/>
          </w:tcPr>
          <w:p w14:paraId="424CCEEB" w14:textId="3841396E" w:rsidR="00EE205A" w:rsidRPr="00640D01" w:rsidRDefault="003B7CA2" w:rsidP="00B95FFB">
            <w:pPr>
              <w:pStyle w:val="TableText"/>
            </w:pPr>
            <w:r w:rsidRPr="00640D01">
              <w:t>0</w:t>
            </w:r>
            <w:r w:rsidR="00EE205A" w:rsidRPr="00640D01">
              <w:t>9:00</w:t>
            </w:r>
            <w:r w:rsidR="004C3DD6" w:rsidRPr="00640D01">
              <w:t xml:space="preserve"> </w:t>
            </w:r>
            <w:r w:rsidR="009C54DD" w:rsidRPr="00640D01">
              <w:t>a.m.–</w:t>
            </w:r>
            <w:r w:rsidR="00EE205A" w:rsidRPr="00640D01">
              <w:t>10:00</w:t>
            </w:r>
            <w:r w:rsidR="004C3DD6" w:rsidRPr="00640D01">
              <w:t xml:space="preserve"> </w:t>
            </w:r>
            <w:r w:rsidR="009C54DD" w:rsidRPr="00640D01">
              <w:t>a.m.</w:t>
            </w:r>
          </w:p>
        </w:tc>
        <w:tc>
          <w:tcPr>
            <w:tcW w:w="913" w:type="pct"/>
            <w:vAlign w:val="center"/>
          </w:tcPr>
          <w:p w14:paraId="17AAD72E" w14:textId="2CF2DEA7" w:rsidR="00EE205A" w:rsidRPr="00640D01" w:rsidRDefault="00EE205A" w:rsidP="00B95FFB">
            <w:pPr>
              <w:pStyle w:val="TableText"/>
              <w:rPr>
                <w:color w:val="4C0203"/>
              </w:rPr>
            </w:pPr>
          </w:p>
        </w:tc>
        <w:tc>
          <w:tcPr>
            <w:tcW w:w="914" w:type="pct"/>
            <w:tcBorders>
              <w:right w:val="dashed" w:sz="4" w:space="0" w:color="auto"/>
            </w:tcBorders>
            <w:vAlign w:val="center"/>
          </w:tcPr>
          <w:p w14:paraId="100DAFF8" w14:textId="587F7686" w:rsidR="00EE205A" w:rsidRPr="00640D01" w:rsidRDefault="00EE205A" w:rsidP="00B95FFB">
            <w:pPr>
              <w:pStyle w:val="TableText"/>
              <w:rPr>
                <w:color w:val="4C0203"/>
              </w:rPr>
            </w:pPr>
          </w:p>
        </w:tc>
        <w:tc>
          <w:tcPr>
            <w:tcW w:w="914" w:type="pct"/>
            <w:tcBorders>
              <w:right w:val="dashed" w:sz="4" w:space="0" w:color="auto"/>
            </w:tcBorders>
            <w:vAlign w:val="center"/>
          </w:tcPr>
          <w:p w14:paraId="78246FAB" w14:textId="69435E24"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28DCE444" w14:textId="696BD7D1" w:rsidR="00EE205A" w:rsidRPr="00640D01" w:rsidRDefault="00EE205A" w:rsidP="00B95FFB">
            <w:pPr>
              <w:pStyle w:val="TableText"/>
              <w:rPr>
                <w:color w:val="4C0203"/>
              </w:rPr>
            </w:pPr>
          </w:p>
        </w:tc>
      </w:tr>
      <w:tr w:rsidR="00EE205A" w:rsidRPr="00640D01" w14:paraId="5E817AFA" w14:textId="77777777" w:rsidTr="00CE703E">
        <w:trPr>
          <w:trHeight w:val="317"/>
          <w:jc w:val="center"/>
        </w:trPr>
        <w:tc>
          <w:tcPr>
            <w:tcW w:w="1345" w:type="pct"/>
            <w:tcBorders>
              <w:left w:val="single" w:sz="4" w:space="0" w:color="FFFFFF" w:themeColor="background1"/>
            </w:tcBorders>
            <w:vAlign w:val="center"/>
          </w:tcPr>
          <w:p w14:paraId="1F9D7BC3" w14:textId="19376191" w:rsidR="00EE205A" w:rsidRPr="00640D01" w:rsidRDefault="00EE205A" w:rsidP="00B95FFB">
            <w:pPr>
              <w:pStyle w:val="TableText"/>
            </w:pPr>
            <w:r w:rsidRPr="00640D01">
              <w:t>10:00</w:t>
            </w:r>
            <w:r w:rsidR="004C3DD6" w:rsidRPr="00640D01">
              <w:t xml:space="preserve"> </w:t>
            </w:r>
            <w:r w:rsidR="009C54DD" w:rsidRPr="00640D01">
              <w:t>a.m.–</w:t>
            </w:r>
            <w:r w:rsidRPr="00640D01">
              <w:t>11:00</w:t>
            </w:r>
            <w:r w:rsidR="004C3DD6" w:rsidRPr="00640D01">
              <w:t xml:space="preserve"> </w:t>
            </w:r>
            <w:r w:rsidR="009C54DD" w:rsidRPr="00640D01">
              <w:t>a.m.</w:t>
            </w:r>
          </w:p>
        </w:tc>
        <w:tc>
          <w:tcPr>
            <w:tcW w:w="913" w:type="pct"/>
            <w:vAlign w:val="center"/>
          </w:tcPr>
          <w:p w14:paraId="77A1AF3E" w14:textId="12054173" w:rsidR="00EE205A" w:rsidRPr="00640D01" w:rsidRDefault="00EE205A" w:rsidP="00B95FFB">
            <w:pPr>
              <w:pStyle w:val="TableText"/>
              <w:rPr>
                <w:color w:val="4C0203"/>
              </w:rPr>
            </w:pPr>
          </w:p>
        </w:tc>
        <w:tc>
          <w:tcPr>
            <w:tcW w:w="914" w:type="pct"/>
            <w:tcBorders>
              <w:right w:val="dashed" w:sz="4" w:space="0" w:color="auto"/>
            </w:tcBorders>
            <w:vAlign w:val="center"/>
          </w:tcPr>
          <w:p w14:paraId="10CCE1B3" w14:textId="5275F357" w:rsidR="00EE205A" w:rsidRPr="00640D01" w:rsidRDefault="00EE205A" w:rsidP="00B95FFB">
            <w:pPr>
              <w:pStyle w:val="TableText"/>
              <w:rPr>
                <w:color w:val="4C0203"/>
              </w:rPr>
            </w:pPr>
          </w:p>
        </w:tc>
        <w:tc>
          <w:tcPr>
            <w:tcW w:w="914" w:type="pct"/>
            <w:tcBorders>
              <w:right w:val="dashed" w:sz="4" w:space="0" w:color="auto"/>
            </w:tcBorders>
            <w:vAlign w:val="center"/>
          </w:tcPr>
          <w:p w14:paraId="1EFB5364" w14:textId="50406BD7"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2ABAE21F" w14:textId="7C547CB0" w:rsidR="00EE205A" w:rsidRPr="00640D01" w:rsidRDefault="00EE205A" w:rsidP="00B95FFB">
            <w:pPr>
              <w:pStyle w:val="TableText"/>
              <w:rPr>
                <w:color w:val="4C0203"/>
              </w:rPr>
            </w:pPr>
          </w:p>
        </w:tc>
      </w:tr>
      <w:tr w:rsidR="00EE205A" w:rsidRPr="00640D01" w14:paraId="2ECC5DB2" w14:textId="77777777" w:rsidTr="00CE703E">
        <w:trPr>
          <w:trHeight w:val="317"/>
          <w:jc w:val="center"/>
        </w:trPr>
        <w:tc>
          <w:tcPr>
            <w:tcW w:w="1345" w:type="pct"/>
            <w:tcBorders>
              <w:left w:val="single" w:sz="4" w:space="0" w:color="FFFFFF" w:themeColor="background1"/>
            </w:tcBorders>
            <w:vAlign w:val="center"/>
          </w:tcPr>
          <w:p w14:paraId="2857C01C" w14:textId="0C393861" w:rsidR="00EE205A" w:rsidRPr="00640D01" w:rsidRDefault="00EE205A" w:rsidP="00B95FFB">
            <w:pPr>
              <w:pStyle w:val="TableText"/>
            </w:pPr>
            <w:r w:rsidRPr="00640D01">
              <w:t>11:00</w:t>
            </w:r>
            <w:r w:rsidR="004C3DD6" w:rsidRPr="00640D01">
              <w:t xml:space="preserve"> </w:t>
            </w:r>
            <w:r w:rsidR="009C54DD" w:rsidRPr="00640D01">
              <w:t>a.m.–</w:t>
            </w:r>
            <w:r w:rsidRPr="00640D01">
              <w:t>12:00</w:t>
            </w:r>
            <w:r w:rsidR="004C3DD6" w:rsidRPr="00640D01">
              <w:t xml:space="preserve"> </w:t>
            </w:r>
            <w:r w:rsidR="009C54DD" w:rsidRPr="00640D01">
              <w:t>p.m.</w:t>
            </w:r>
          </w:p>
        </w:tc>
        <w:tc>
          <w:tcPr>
            <w:tcW w:w="913" w:type="pct"/>
            <w:vAlign w:val="center"/>
          </w:tcPr>
          <w:p w14:paraId="4971AC3E" w14:textId="14C21A21" w:rsidR="00EE205A" w:rsidRPr="00640D01" w:rsidRDefault="00EE205A" w:rsidP="00B95FFB">
            <w:pPr>
              <w:pStyle w:val="TableText"/>
              <w:rPr>
                <w:color w:val="4C0203"/>
              </w:rPr>
            </w:pPr>
          </w:p>
        </w:tc>
        <w:tc>
          <w:tcPr>
            <w:tcW w:w="914" w:type="pct"/>
            <w:tcBorders>
              <w:right w:val="dashed" w:sz="4" w:space="0" w:color="auto"/>
            </w:tcBorders>
            <w:vAlign w:val="center"/>
          </w:tcPr>
          <w:p w14:paraId="28E99799" w14:textId="01EA4E15" w:rsidR="00EE205A" w:rsidRPr="00640D01" w:rsidRDefault="00EE205A" w:rsidP="00B95FFB">
            <w:pPr>
              <w:pStyle w:val="TableText"/>
              <w:rPr>
                <w:color w:val="4C0203"/>
              </w:rPr>
            </w:pPr>
          </w:p>
        </w:tc>
        <w:tc>
          <w:tcPr>
            <w:tcW w:w="914" w:type="pct"/>
            <w:tcBorders>
              <w:right w:val="dashed" w:sz="4" w:space="0" w:color="auto"/>
            </w:tcBorders>
            <w:vAlign w:val="center"/>
          </w:tcPr>
          <w:p w14:paraId="24699097" w14:textId="6FB806D0"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00DCB9B1" w14:textId="6EACA161" w:rsidR="00EE205A" w:rsidRPr="00640D01" w:rsidRDefault="00EE205A" w:rsidP="00B95FFB">
            <w:pPr>
              <w:pStyle w:val="TableText"/>
              <w:rPr>
                <w:color w:val="4C0203"/>
              </w:rPr>
            </w:pPr>
          </w:p>
        </w:tc>
      </w:tr>
      <w:tr w:rsidR="00EE205A" w:rsidRPr="00640D01" w14:paraId="191701E9" w14:textId="77777777" w:rsidTr="00CE703E">
        <w:trPr>
          <w:trHeight w:val="317"/>
          <w:jc w:val="center"/>
        </w:trPr>
        <w:tc>
          <w:tcPr>
            <w:tcW w:w="1345" w:type="pct"/>
            <w:tcBorders>
              <w:left w:val="single" w:sz="4" w:space="0" w:color="FFFFFF" w:themeColor="background1"/>
            </w:tcBorders>
            <w:vAlign w:val="center"/>
          </w:tcPr>
          <w:p w14:paraId="71333773" w14:textId="648ADA7A" w:rsidR="00EE205A" w:rsidRPr="00640D01" w:rsidRDefault="00EE205A" w:rsidP="00B95FFB">
            <w:pPr>
              <w:pStyle w:val="TableText"/>
            </w:pPr>
            <w:r w:rsidRPr="00640D01">
              <w:t>12:00</w:t>
            </w:r>
            <w:r w:rsidR="004C3DD6" w:rsidRPr="00640D01">
              <w:t xml:space="preserve"> </w:t>
            </w:r>
            <w:r w:rsidR="009C54DD" w:rsidRPr="00640D01">
              <w:t>p.m.–</w:t>
            </w:r>
            <w:r w:rsidRPr="00640D01">
              <w:t>13:00</w:t>
            </w:r>
            <w:r w:rsidR="004C3DD6" w:rsidRPr="00640D01">
              <w:t xml:space="preserve"> </w:t>
            </w:r>
            <w:r w:rsidR="009C54DD" w:rsidRPr="00640D01">
              <w:t>p.m.</w:t>
            </w:r>
          </w:p>
        </w:tc>
        <w:tc>
          <w:tcPr>
            <w:tcW w:w="913" w:type="pct"/>
            <w:vAlign w:val="center"/>
          </w:tcPr>
          <w:p w14:paraId="54E32E8D" w14:textId="2B360DDB" w:rsidR="00EE205A" w:rsidRPr="00640D01" w:rsidRDefault="00EE205A" w:rsidP="00B95FFB">
            <w:pPr>
              <w:pStyle w:val="TableText"/>
              <w:rPr>
                <w:color w:val="4C0203"/>
              </w:rPr>
            </w:pPr>
          </w:p>
        </w:tc>
        <w:tc>
          <w:tcPr>
            <w:tcW w:w="914" w:type="pct"/>
            <w:tcBorders>
              <w:right w:val="dashed" w:sz="4" w:space="0" w:color="auto"/>
            </w:tcBorders>
            <w:vAlign w:val="center"/>
          </w:tcPr>
          <w:p w14:paraId="2A7DAB85" w14:textId="7200FEA6" w:rsidR="00EE205A" w:rsidRPr="00640D01" w:rsidRDefault="00EE205A" w:rsidP="00B95FFB">
            <w:pPr>
              <w:pStyle w:val="TableText"/>
              <w:rPr>
                <w:color w:val="4C0203"/>
              </w:rPr>
            </w:pPr>
          </w:p>
        </w:tc>
        <w:tc>
          <w:tcPr>
            <w:tcW w:w="914" w:type="pct"/>
            <w:tcBorders>
              <w:right w:val="dashed" w:sz="4" w:space="0" w:color="auto"/>
            </w:tcBorders>
            <w:vAlign w:val="center"/>
          </w:tcPr>
          <w:p w14:paraId="3229CE0E" w14:textId="0E33BDB2"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08D2C688" w14:textId="757114B1" w:rsidR="00EE205A" w:rsidRPr="00640D01" w:rsidRDefault="00EE205A" w:rsidP="00B95FFB">
            <w:pPr>
              <w:pStyle w:val="TableText"/>
              <w:rPr>
                <w:color w:val="4C0203"/>
              </w:rPr>
            </w:pPr>
          </w:p>
        </w:tc>
      </w:tr>
      <w:tr w:rsidR="00EE205A" w:rsidRPr="00640D01" w14:paraId="170C9834" w14:textId="77777777" w:rsidTr="00CE703E">
        <w:trPr>
          <w:trHeight w:val="317"/>
          <w:jc w:val="center"/>
        </w:trPr>
        <w:tc>
          <w:tcPr>
            <w:tcW w:w="1345" w:type="pct"/>
            <w:tcBorders>
              <w:left w:val="single" w:sz="4" w:space="0" w:color="FFFFFF" w:themeColor="background1"/>
            </w:tcBorders>
            <w:vAlign w:val="center"/>
          </w:tcPr>
          <w:p w14:paraId="22B10B75" w14:textId="29D236A4" w:rsidR="00EE205A" w:rsidRPr="00640D01" w:rsidRDefault="00EE205A" w:rsidP="00B95FFB">
            <w:pPr>
              <w:pStyle w:val="TableText"/>
            </w:pPr>
            <w:r w:rsidRPr="00640D01">
              <w:t>13:00</w:t>
            </w:r>
            <w:r w:rsidR="004C3DD6" w:rsidRPr="00640D01">
              <w:t xml:space="preserve"> </w:t>
            </w:r>
            <w:r w:rsidR="009C54DD" w:rsidRPr="00640D01">
              <w:t>p.m.–</w:t>
            </w:r>
            <w:r w:rsidRPr="00640D01">
              <w:t>14:00</w:t>
            </w:r>
            <w:r w:rsidR="004C3DD6" w:rsidRPr="00640D01">
              <w:t xml:space="preserve"> </w:t>
            </w:r>
            <w:r w:rsidR="009C54DD" w:rsidRPr="00640D01">
              <w:t>p.m.</w:t>
            </w:r>
          </w:p>
        </w:tc>
        <w:tc>
          <w:tcPr>
            <w:tcW w:w="913" w:type="pct"/>
            <w:vAlign w:val="center"/>
          </w:tcPr>
          <w:p w14:paraId="7D1149BD" w14:textId="742BE4D5" w:rsidR="00EE205A" w:rsidRPr="00640D01" w:rsidRDefault="00EE205A" w:rsidP="00B95FFB">
            <w:pPr>
              <w:pStyle w:val="TableText"/>
              <w:rPr>
                <w:color w:val="4C0203"/>
              </w:rPr>
            </w:pPr>
          </w:p>
        </w:tc>
        <w:tc>
          <w:tcPr>
            <w:tcW w:w="914" w:type="pct"/>
            <w:tcBorders>
              <w:right w:val="dashed" w:sz="4" w:space="0" w:color="auto"/>
            </w:tcBorders>
            <w:vAlign w:val="center"/>
          </w:tcPr>
          <w:p w14:paraId="1B46C761" w14:textId="70F14D35" w:rsidR="00EE205A" w:rsidRPr="00640D01" w:rsidRDefault="00EE205A" w:rsidP="00B95FFB">
            <w:pPr>
              <w:pStyle w:val="TableText"/>
              <w:rPr>
                <w:color w:val="4C0203"/>
              </w:rPr>
            </w:pPr>
          </w:p>
        </w:tc>
        <w:tc>
          <w:tcPr>
            <w:tcW w:w="914" w:type="pct"/>
            <w:tcBorders>
              <w:right w:val="dashed" w:sz="4" w:space="0" w:color="auto"/>
            </w:tcBorders>
            <w:vAlign w:val="center"/>
          </w:tcPr>
          <w:p w14:paraId="055BA77D" w14:textId="4A4C6CA8"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28351252" w14:textId="53BE6598" w:rsidR="00EE205A" w:rsidRPr="00640D01" w:rsidRDefault="00EE205A" w:rsidP="00B95FFB">
            <w:pPr>
              <w:pStyle w:val="TableText"/>
              <w:rPr>
                <w:color w:val="4C0203"/>
              </w:rPr>
            </w:pPr>
          </w:p>
        </w:tc>
      </w:tr>
      <w:tr w:rsidR="00EE205A" w:rsidRPr="00640D01" w14:paraId="389920CB" w14:textId="77777777" w:rsidTr="00CE703E">
        <w:trPr>
          <w:trHeight w:val="317"/>
          <w:jc w:val="center"/>
        </w:trPr>
        <w:tc>
          <w:tcPr>
            <w:tcW w:w="1345" w:type="pct"/>
            <w:tcBorders>
              <w:left w:val="single" w:sz="4" w:space="0" w:color="FFFFFF" w:themeColor="background1"/>
            </w:tcBorders>
            <w:vAlign w:val="center"/>
          </w:tcPr>
          <w:p w14:paraId="5937B025" w14:textId="3363F2AE" w:rsidR="00EE205A" w:rsidRPr="00640D01" w:rsidRDefault="00EE205A" w:rsidP="00B95FFB">
            <w:pPr>
              <w:pStyle w:val="TableText"/>
            </w:pPr>
            <w:r w:rsidRPr="00640D01">
              <w:t>14:00</w:t>
            </w:r>
            <w:r w:rsidR="002201D7" w:rsidRPr="00640D01">
              <w:t xml:space="preserve"> </w:t>
            </w:r>
            <w:r w:rsidR="009C54DD" w:rsidRPr="00640D01">
              <w:t>p.m.–</w:t>
            </w:r>
            <w:r w:rsidRPr="00640D01">
              <w:t>15:00</w:t>
            </w:r>
            <w:r w:rsidR="002201D7" w:rsidRPr="00640D01">
              <w:t xml:space="preserve"> </w:t>
            </w:r>
            <w:r w:rsidR="009C54DD" w:rsidRPr="00640D01">
              <w:t>p.m.</w:t>
            </w:r>
          </w:p>
        </w:tc>
        <w:tc>
          <w:tcPr>
            <w:tcW w:w="913" w:type="pct"/>
            <w:vAlign w:val="center"/>
          </w:tcPr>
          <w:p w14:paraId="486D708E" w14:textId="21CB1C6F" w:rsidR="00EE205A" w:rsidRPr="00640D01" w:rsidRDefault="00EE205A" w:rsidP="00B95FFB">
            <w:pPr>
              <w:pStyle w:val="TableText"/>
              <w:rPr>
                <w:color w:val="4C0203"/>
              </w:rPr>
            </w:pPr>
          </w:p>
        </w:tc>
        <w:tc>
          <w:tcPr>
            <w:tcW w:w="914" w:type="pct"/>
            <w:tcBorders>
              <w:right w:val="dashed" w:sz="4" w:space="0" w:color="auto"/>
            </w:tcBorders>
            <w:vAlign w:val="center"/>
          </w:tcPr>
          <w:p w14:paraId="2983CDC1" w14:textId="2D4A988D" w:rsidR="00EE205A" w:rsidRPr="00640D01" w:rsidRDefault="00EE205A" w:rsidP="00B95FFB">
            <w:pPr>
              <w:pStyle w:val="TableText"/>
              <w:rPr>
                <w:color w:val="4C0203"/>
              </w:rPr>
            </w:pPr>
          </w:p>
        </w:tc>
        <w:tc>
          <w:tcPr>
            <w:tcW w:w="914" w:type="pct"/>
            <w:tcBorders>
              <w:right w:val="dashed" w:sz="4" w:space="0" w:color="auto"/>
            </w:tcBorders>
            <w:vAlign w:val="center"/>
          </w:tcPr>
          <w:p w14:paraId="40793A9B" w14:textId="6011FE03"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05CA2FD1" w14:textId="52F6C5E0" w:rsidR="00EE205A" w:rsidRPr="00640D01" w:rsidRDefault="00EE205A" w:rsidP="00B95FFB">
            <w:pPr>
              <w:pStyle w:val="TableText"/>
              <w:rPr>
                <w:color w:val="4C0203"/>
              </w:rPr>
            </w:pPr>
          </w:p>
        </w:tc>
      </w:tr>
      <w:tr w:rsidR="00EE205A" w:rsidRPr="00640D01" w14:paraId="31340B7A" w14:textId="77777777" w:rsidTr="00CE703E">
        <w:trPr>
          <w:trHeight w:val="317"/>
          <w:jc w:val="center"/>
        </w:trPr>
        <w:tc>
          <w:tcPr>
            <w:tcW w:w="1345" w:type="pct"/>
            <w:tcBorders>
              <w:left w:val="single" w:sz="4" w:space="0" w:color="FFFFFF" w:themeColor="background1"/>
            </w:tcBorders>
            <w:vAlign w:val="center"/>
          </w:tcPr>
          <w:p w14:paraId="658BEA9A" w14:textId="30F6F66C" w:rsidR="00EE205A" w:rsidRPr="00640D01" w:rsidRDefault="00EE205A" w:rsidP="00B95FFB">
            <w:pPr>
              <w:pStyle w:val="TableText"/>
            </w:pPr>
            <w:r w:rsidRPr="00640D01">
              <w:t>15:00</w:t>
            </w:r>
            <w:r w:rsidR="002201D7" w:rsidRPr="00640D01">
              <w:t xml:space="preserve"> </w:t>
            </w:r>
            <w:r w:rsidR="009C54DD" w:rsidRPr="00640D01">
              <w:t>p.m.–</w:t>
            </w:r>
            <w:r w:rsidRPr="00640D01">
              <w:t>16:00</w:t>
            </w:r>
            <w:r w:rsidR="002201D7" w:rsidRPr="00640D01">
              <w:t xml:space="preserve"> </w:t>
            </w:r>
            <w:r w:rsidR="009C54DD" w:rsidRPr="00640D01">
              <w:t>p.m.</w:t>
            </w:r>
          </w:p>
        </w:tc>
        <w:tc>
          <w:tcPr>
            <w:tcW w:w="913" w:type="pct"/>
            <w:vAlign w:val="center"/>
          </w:tcPr>
          <w:p w14:paraId="43B41480" w14:textId="11065D54" w:rsidR="00EE205A" w:rsidRPr="00640D01" w:rsidRDefault="00EE205A" w:rsidP="00B95FFB">
            <w:pPr>
              <w:pStyle w:val="TableText"/>
              <w:rPr>
                <w:color w:val="4C0203"/>
              </w:rPr>
            </w:pPr>
          </w:p>
        </w:tc>
        <w:tc>
          <w:tcPr>
            <w:tcW w:w="914" w:type="pct"/>
            <w:tcBorders>
              <w:right w:val="dashed" w:sz="4" w:space="0" w:color="auto"/>
            </w:tcBorders>
            <w:vAlign w:val="center"/>
          </w:tcPr>
          <w:p w14:paraId="6E834452" w14:textId="31331DAE" w:rsidR="00EE205A" w:rsidRPr="00640D01" w:rsidRDefault="00EE205A" w:rsidP="00B95FFB">
            <w:pPr>
              <w:pStyle w:val="TableText"/>
              <w:rPr>
                <w:color w:val="4C0203"/>
              </w:rPr>
            </w:pPr>
          </w:p>
        </w:tc>
        <w:tc>
          <w:tcPr>
            <w:tcW w:w="914" w:type="pct"/>
            <w:tcBorders>
              <w:right w:val="dashed" w:sz="4" w:space="0" w:color="auto"/>
            </w:tcBorders>
            <w:vAlign w:val="center"/>
          </w:tcPr>
          <w:p w14:paraId="3CE0E51E" w14:textId="34F18975"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1AC275F6" w14:textId="080EA58B" w:rsidR="00EE205A" w:rsidRPr="00640D01" w:rsidRDefault="00EE205A" w:rsidP="00B95FFB">
            <w:pPr>
              <w:pStyle w:val="TableText"/>
              <w:rPr>
                <w:color w:val="4C0203"/>
              </w:rPr>
            </w:pPr>
          </w:p>
        </w:tc>
      </w:tr>
      <w:tr w:rsidR="00EE205A" w:rsidRPr="00640D01" w14:paraId="4FBC7949" w14:textId="77777777" w:rsidTr="00CE703E">
        <w:trPr>
          <w:trHeight w:val="317"/>
          <w:jc w:val="center"/>
        </w:trPr>
        <w:tc>
          <w:tcPr>
            <w:tcW w:w="1345" w:type="pct"/>
            <w:tcBorders>
              <w:left w:val="single" w:sz="4" w:space="0" w:color="FFFFFF" w:themeColor="background1"/>
            </w:tcBorders>
            <w:vAlign w:val="center"/>
          </w:tcPr>
          <w:p w14:paraId="34A90822" w14:textId="35575B84" w:rsidR="00EE205A" w:rsidRPr="00640D01" w:rsidRDefault="00EE205A" w:rsidP="00B95FFB">
            <w:pPr>
              <w:pStyle w:val="TableText"/>
            </w:pPr>
            <w:r w:rsidRPr="00640D01">
              <w:t>16:00</w:t>
            </w:r>
            <w:r w:rsidR="002201D7" w:rsidRPr="00640D01">
              <w:t xml:space="preserve"> </w:t>
            </w:r>
            <w:r w:rsidR="009C54DD" w:rsidRPr="00640D01">
              <w:t>p.m.–</w:t>
            </w:r>
            <w:r w:rsidRPr="00640D01">
              <w:t>17:00</w:t>
            </w:r>
            <w:r w:rsidR="002201D7" w:rsidRPr="00640D01">
              <w:t xml:space="preserve"> </w:t>
            </w:r>
            <w:r w:rsidR="009C54DD" w:rsidRPr="00640D01">
              <w:t>p.m.</w:t>
            </w:r>
          </w:p>
        </w:tc>
        <w:tc>
          <w:tcPr>
            <w:tcW w:w="913" w:type="pct"/>
            <w:vAlign w:val="center"/>
          </w:tcPr>
          <w:p w14:paraId="53A9DEC3" w14:textId="14E44A8C" w:rsidR="00EE205A" w:rsidRPr="00640D01" w:rsidRDefault="00EE205A" w:rsidP="00B95FFB">
            <w:pPr>
              <w:pStyle w:val="TableText"/>
              <w:rPr>
                <w:color w:val="4C0203"/>
              </w:rPr>
            </w:pPr>
          </w:p>
        </w:tc>
        <w:tc>
          <w:tcPr>
            <w:tcW w:w="914" w:type="pct"/>
            <w:tcBorders>
              <w:right w:val="dashed" w:sz="4" w:space="0" w:color="auto"/>
            </w:tcBorders>
            <w:vAlign w:val="center"/>
          </w:tcPr>
          <w:p w14:paraId="36D3B396" w14:textId="5FDF4EF1" w:rsidR="00EE205A" w:rsidRPr="00640D01" w:rsidRDefault="00EE205A" w:rsidP="00B95FFB">
            <w:pPr>
              <w:pStyle w:val="TableText"/>
              <w:rPr>
                <w:color w:val="4C0203"/>
              </w:rPr>
            </w:pPr>
          </w:p>
        </w:tc>
        <w:tc>
          <w:tcPr>
            <w:tcW w:w="914" w:type="pct"/>
            <w:tcBorders>
              <w:right w:val="dashed" w:sz="4" w:space="0" w:color="auto"/>
            </w:tcBorders>
            <w:vAlign w:val="center"/>
          </w:tcPr>
          <w:p w14:paraId="729D45AD" w14:textId="26FD562A"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1686E2EE" w14:textId="3C370D13" w:rsidR="00EE205A" w:rsidRPr="00640D01" w:rsidRDefault="00EE205A" w:rsidP="00B95FFB">
            <w:pPr>
              <w:pStyle w:val="TableText"/>
              <w:rPr>
                <w:color w:val="4C0203"/>
              </w:rPr>
            </w:pPr>
          </w:p>
        </w:tc>
      </w:tr>
      <w:tr w:rsidR="00EE205A" w:rsidRPr="00640D01" w14:paraId="5145B9D6" w14:textId="77777777" w:rsidTr="00CE703E">
        <w:trPr>
          <w:trHeight w:val="317"/>
          <w:jc w:val="center"/>
        </w:trPr>
        <w:tc>
          <w:tcPr>
            <w:tcW w:w="1345" w:type="pct"/>
            <w:tcBorders>
              <w:left w:val="single" w:sz="4" w:space="0" w:color="FFFFFF" w:themeColor="background1"/>
            </w:tcBorders>
            <w:vAlign w:val="center"/>
          </w:tcPr>
          <w:p w14:paraId="0C85C189" w14:textId="0AB6E3A8" w:rsidR="00EE205A" w:rsidRPr="00640D01" w:rsidRDefault="00EE205A" w:rsidP="00B95FFB">
            <w:pPr>
              <w:pStyle w:val="TableText"/>
            </w:pPr>
            <w:r w:rsidRPr="00640D01">
              <w:t>17:00</w:t>
            </w:r>
            <w:r w:rsidR="002201D7" w:rsidRPr="00640D01">
              <w:t xml:space="preserve"> </w:t>
            </w:r>
            <w:r w:rsidR="009C54DD" w:rsidRPr="00640D01">
              <w:t>p.m.–</w:t>
            </w:r>
            <w:r w:rsidRPr="00640D01">
              <w:t>18:00</w:t>
            </w:r>
            <w:r w:rsidR="002201D7" w:rsidRPr="00640D01">
              <w:t xml:space="preserve"> </w:t>
            </w:r>
            <w:r w:rsidR="009C54DD" w:rsidRPr="00640D01">
              <w:t>p.m.</w:t>
            </w:r>
          </w:p>
        </w:tc>
        <w:tc>
          <w:tcPr>
            <w:tcW w:w="913" w:type="pct"/>
            <w:vAlign w:val="center"/>
          </w:tcPr>
          <w:p w14:paraId="025E5A59" w14:textId="4C7AC151" w:rsidR="00EE205A" w:rsidRPr="00640D01" w:rsidRDefault="00EE205A" w:rsidP="00B95FFB">
            <w:pPr>
              <w:pStyle w:val="TableText"/>
              <w:rPr>
                <w:color w:val="4C0203"/>
              </w:rPr>
            </w:pPr>
          </w:p>
        </w:tc>
        <w:tc>
          <w:tcPr>
            <w:tcW w:w="914" w:type="pct"/>
            <w:tcBorders>
              <w:right w:val="dashed" w:sz="4" w:space="0" w:color="auto"/>
            </w:tcBorders>
            <w:vAlign w:val="center"/>
          </w:tcPr>
          <w:p w14:paraId="78BCB6EF" w14:textId="1730F6DA" w:rsidR="00EE205A" w:rsidRPr="00640D01" w:rsidRDefault="00EE205A" w:rsidP="00B95FFB">
            <w:pPr>
              <w:pStyle w:val="TableText"/>
              <w:rPr>
                <w:color w:val="4C0203"/>
              </w:rPr>
            </w:pPr>
          </w:p>
        </w:tc>
        <w:tc>
          <w:tcPr>
            <w:tcW w:w="914" w:type="pct"/>
            <w:tcBorders>
              <w:right w:val="dashed" w:sz="4" w:space="0" w:color="auto"/>
            </w:tcBorders>
            <w:vAlign w:val="center"/>
          </w:tcPr>
          <w:p w14:paraId="7AC2EE47" w14:textId="1D606C8C"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233C0983" w14:textId="150C8BEB" w:rsidR="00EE205A" w:rsidRPr="00640D01" w:rsidRDefault="00EE205A" w:rsidP="00B95FFB">
            <w:pPr>
              <w:pStyle w:val="TableText"/>
              <w:rPr>
                <w:color w:val="4C0203"/>
              </w:rPr>
            </w:pPr>
          </w:p>
        </w:tc>
      </w:tr>
      <w:tr w:rsidR="00EE205A" w:rsidRPr="00640D01" w14:paraId="0B92DF7E" w14:textId="77777777" w:rsidTr="00CE703E">
        <w:trPr>
          <w:trHeight w:val="317"/>
          <w:jc w:val="center"/>
        </w:trPr>
        <w:tc>
          <w:tcPr>
            <w:tcW w:w="1345" w:type="pct"/>
            <w:tcBorders>
              <w:left w:val="single" w:sz="4" w:space="0" w:color="FFFFFF" w:themeColor="background1"/>
            </w:tcBorders>
            <w:vAlign w:val="center"/>
          </w:tcPr>
          <w:p w14:paraId="7AF71903" w14:textId="20BB93F1" w:rsidR="00EE205A" w:rsidRPr="00640D01" w:rsidRDefault="00EE205A" w:rsidP="00B95FFB">
            <w:pPr>
              <w:pStyle w:val="TableText"/>
            </w:pPr>
            <w:r w:rsidRPr="00640D01">
              <w:t>18:00</w:t>
            </w:r>
            <w:r w:rsidR="002201D7" w:rsidRPr="00640D01">
              <w:t xml:space="preserve"> </w:t>
            </w:r>
            <w:r w:rsidR="009C54DD" w:rsidRPr="00640D01">
              <w:t>p.m.–</w:t>
            </w:r>
            <w:r w:rsidRPr="00640D01">
              <w:t>19:00</w:t>
            </w:r>
            <w:r w:rsidR="002201D7" w:rsidRPr="00640D01">
              <w:t xml:space="preserve"> </w:t>
            </w:r>
            <w:r w:rsidR="009C54DD" w:rsidRPr="00640D01">
              <w:t>p.m.</w:t>
            </w:r>
          </w:p>
        </w:tc>
        <w:tc>
          <w:tcPr>
            <w:tcW w:w="913" w:type="pct"/>
            <w:vAlign w:val="center"/>
          </w:tcPr>
          <w:p w14:paraId="748772DC" w14:textId="18E5B400" w:rsidR="00EE205A" w:rsidRPr="00640D01" w:rsidRDefault="00EE205A" w:rsidP="00B95FFB">
            <w:pPr>
              <w:pStyle w:val="TableText"/>
              <w:rPr>
                <w:color w:val="4C0203"/>
              </w:rPr>
            </w:pPr>
          </w:p>
        </w:tc>
        <w:tc>
          <w:tcPr>
            <w:tcW w:w="914" w:type="pct"/>
            <w:tcBorders>
              <w:right w:val="dashed" w:sz="4" w:space="0" w:color="auto"/>
            </w:tcBorders>
            <w:vAlign w:val="center"/>
          </w:tcPr>
          <w:p w14:paraId="0B4E5BFC" w14:textId="1638B789" w:rsidR="00EE205A" w:rsidRPr="00640D01" w:rsidRDefault="00EE205A" w:rsidP="00B95FFB">
            <w:pPr>
              <w:pStyle w:val="TableText"/>
              <w:rPr>
                <w:color w:val="4C0203"/>
              </w:rPr>
            </w:pPr>
          </w:p>
        </w:tc>
        <w:tc>
          <w:tcPr>
            <w:tcW w:w="914" w:type="pct"/>
            <w:tcBorders>
              <w:right w:val="dashed" w:sz="4" w:space="0" w:color="auto"/>
            </w:tcBorders>
            <w:vAlign w:val="center"/>
          </w:tcPr>
          <w:p w14:paraId="582B81FA" w14:textId="54DF5124"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18262CD6" w14:textId="1C571C24" w:rsidR="00EE205A" w:rsidRPr="00640D01" w:rsidRDefault="00EE205A" w:rsidP="00B95FFB">
            <w:pPr>
              <w:pStyle w:val="TableText"/>
              <w:rPr>
                <w:color w:val="4C0203"/>
              </w:rPr>
            </w:pPr>
          </w:p>
        </w:tc>
      </w:tr>
      <w:tr w:rsidR="00EE205A" w:rsidRPr="00640D01" w14:paraId="48FCA51D" w14:textId="77777777" w:rsidTr="00CE703E">
        <w:trPr>
          <w:trHeight w:val="317"/>
          <w:jc w:val="center"/>
        </w:trPr>
        <w:tc>
          <w:tcPr>
            <w:tcW w:w="1345" w:type="pct"/>
            <w:tcBorders>
              <w:left w:val="single" w:sz="4" w:space="0" w:color="FFFFFF" w:themeColor="background1"/>
            </w:tcBorders>
            <w:vAlign w:val="center"/>
          </w:tcPr>
          <w:p w14:paraId="1C949EC5" w14:textId="180FA495" w:rsidR="00EE205A" w:rsidRPr="00640D01" w:rsidRDefault="00EE205A" w:rsidP="00B95FFB">
            <w:pPr>
              <w:pStyle w:val="TableText"/>
            </w:pPr>
            <w:r w:rsidRPr="00640D01">
              <w:t>19:00</w:t>
            </w:r>
            <w:r w:rsidR="002201D7" w:rsidRPr="00640D01">
              <w:t xml:space="preserve"> </w:t>
            </w:r>
            <w:r w:rsidR="009C54DD" w:rsidRPr="00640D01">
              <w:t>p.m.–</w:t>
            </w:r>
            <w:r w:rsidRPr="00640D01">
              <w:t>20:00</w:t>
            </w:r>
            <w:r w:rsidR="002201D7" w:rsidRPr="00640D01">
              <w:t xml:space="preserve"> </w:t>
            </w:r>
            <w:r w:rsidR="009C54DD" w:rsidRPr="00640D01">
              <w:t>p.m.</w:t>
            </w:r>
          </w:p>
        </w:tc>
        <w:tc>
          <w:tcPr>
            <w:tcW w:w="913" w:type="pct"/>
            <w:vAlign w:val="center"/>
          </w:tcPr>
          <w:p w14:paraId="0C9BB5AD" w14:textId="68B8340F" w:rsidR="00EE205A" w:rsidRPr="00640D01" w:rsidRDefault="00EE205A" w:rsidP="00B95FFB">
            <w:pPr>
              <w:pStyle w:val="TableText"/>
              <w:rPr>
                <w:color w:val="4C0203"/>
              </w:rPr>
            </w:pPr>
          </w:p>
        </w:tc>
        <w:tc>
          <w:tcPr>
            <w:tcW w:w="914" w:type="pct"/>
            <w:tcBorders>
              <w:right w:val="dashed" w:sz="4" w:space="0" w:color="auto"/>
            </w:tcBorders>
            <w:vAlign w:val="center"/>
          </w:tcPr>
          <w:p w14:paraId="4C95539C" w14:textId="10069CC0" w:rsidR="00EE205A" w:rsidRPr="00640D01" w:rsidRDefault="00EE205A" w:rsidP="00B95FFB">
            <w:pPr>
              <w:pStyle w:val="TableText"/>
              <w:rPr>
                <w:color w:val="4C0203"/>
              </w:rPr>
            </w:pPr>
          </w:p>
        </w:tc>
        <w:tc>
          <w:tcPr>
            <w:tcW w:w="914" w:type="pct"/>
            <w:tcBorders>
              <w:right w:val="dashed" w:sz="4" w:space="0" w:color="auto"/>
            </w:tcBorders>
            <w:vAlign w:val="center"/>
          </w:tcPr>
          <w:p w14:paraId="17B5767E" w14:textId="417DBE9E"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278F8C0D" w14:textId="3F372470" w:rsidR="00EE205A" w:rsidRPr="00640D01" w:rsidRDefault="00EE205A" w:rsidP="00B95FFB">
            <w:pPr>
              <w:pStyle w:val="TableText"/>
              <w:rPr>
                <w:color w:val="4C0203"/>
              </w:rPr>
            </w:pPr>
          </w:p>
        </w:tc>
      </w:tr>
      <w:tr w:rsidR="00EE205A" w:rsidRPr="00640D01" w14:paraId="2716CAFC" w14:textId="77777777" w:rsidTr="00CE703E">
        <w:trPr>
          <w:trHeight w:val="317"/>
          <w:jc w:val="center"/>
        </w:trPr>
        <w:tc>
          <w:tcPr>
            <w:tcW w:w="1345" w:type="pct"/>
            <w:tcBorders>
              <w:left w:val="single" w:sz="4" w:space="0" w:color="FFFFFF" w:themeColor="background1"/>
            </w:tcBorders>
            <w:vAlign w:val="center"/>
          </w:tcPr>
          <w:p w14:paraId="1F5733F0" w14:textId="7820C67D" w:rsidR="00EE205A" w:rsidRPr="00640D01" w:rsidRDefault="00EE205A" w:rsidP="00B95FFB">
            <w:pPr>
              <w:pStyle w:val="TableText"/>
            </w:pPr>
            <w:r w:rsidRPr="00640D01">
              <w:t>20:00</w:t>
            </w:r>
            <w:r w:rsidR="002201D7" w:rsidRPr="00640D01">
              <w:t xml:space="preserve"> </w:t>
            </w:r>
            <w:r w:rsidR="009C54DD" w:rsidRPr="00640D01">
              <w:t>p.m.–</w:t>
            </w:r>
            <w:r w:rsidRPr="00640D01">
              <w:t>21:00</w:t>
            </w:r>
            <w:r w:rsidR="002201D7" w:rsidRPr="00640D01">
              <w:t xml:space="preserve"> </w:t>
            </w:r>
            <w:r w:rsidR="009C54DD" w:rsidRPr="00640D01">
              <w:t>p.m.</w:t>
            </w:r>
          </w:p>
        </w:tc>
        <w:tc>
          <w:tcPr>
            <w:tcW w:w="913" w:type="pct"/>
            <w:vAlign w:val="center"/>
          </w:tcPr>
          <w:p w14:paraId="6F702EF7" w14:textId="0A4E7BFC" w:rsidR="00EE205A" w:rsidRPr="00640D01" w:rsidRDefault="00EE205A" w:rsidP="00B95FFB">
            <w:pPr>
              <w:pStyle w:val="TableText"/>
              <w:rPr>
                <w:color w:val="4C0203"/>
              </w:rPr>
            </w:pPr>
          </w:p>
        </w:tc>
        <w:tc>
          <w:tcPr>
            <w:tcW w:w="914" w:type="pct"/>
            <w:tcBorders>
              <w:right w:val="dashed" w:sz="4" w:space="0" w:color="auto"/>
            </w:tcBorders>
            <w:vAlign w:val="center"/>
          </w:tcPr>
          <w:p w14:paraId="3DC69D16" w14:textId="32AF4DF5" w:rsidR="00EE205A" w:rsidRPr="00640D01" w:rsidRDefault="00EE205A" w:rsidP="00B95FFB">
            <w:pPr>
              <w:pStyle w:val="TableText"/>
              <w:rPr>
                <w:color w:val="4C0203"/>
              </w:rPr>
            </w:pPr>
          </w:p>
        </w:tc>
        <w:tc>
          <w:tcPr>
            <w:tcW w:w="914" w:type="pct"/>
            <w:tcBorders>
              <w:right w:val="dashed" w:sz="4" w:space="0" w:color="auto"/>
            </w:tcBorders>
            <w:vAlign w:val="center"/>
          </w:tcPr>
          <w:p w14:paraId="07852971" w14:textId="34A17FC4"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1A937C5D" w14:textId="7DB21A22" w:rsidR="00EE205A" w:rsidRPr="00640D01" w:rsidRDefault="00EE205A" w:rsidP="00B95FFB">
            <w:pPr>
              <w:pStyle w:val="TableText"/>
              <w:rPr>
                <w:color w:val="4C0203"/>
              </w:rPr>
            </w:pPr>
          </w:p>
        </w:tc>
      </w:tr>
      <w:tr w:rsidR="00EE205A" w:rsidRPr="00640D01" w14:paraId="413D4EF0" w14:textId="77777777" w:rsidTr="00CE703E">
        <w:trPr>
          <w:trHeight w:val="317"/>
          <w:jc w:val="center"/>
        </w:trPr>
        <w:tc>
          <w:tcPr>
            <w:tcW w:w="1345" w:type="pct"/>
            <w:tcBorders>
              <w:left w:val="single" w:sz="4" w:space="0" w:color="FFFFFF" w:themeColor="background1"/>
            </w:tcBorders>
            <w:vAlign w:val="center"/>
          </w:tcPr>
          <w:p w14:paraId="3075FF2A" w14:textId="6ED38F9B" w:rsidR="00EE205A" w:rsidRPr="00640D01" w:rsidRDefault="00EE205A" w:rsidP="00B95FFB">
            <w:pPr>
              <w:pStyle w:val="TableText"/>
            </w:pPr>
            <w:r w:rsidRPr="00640D01">
              <w:t>21:00</w:t>
            </w:r>
            <w:r w:rsidR="002201D7" w:rsidRPr="00640D01">
              <w:t xml:space="preserve"> </w:t>
            </w:r>
            <w:r w:rsidR="009C54DD" w:rsidRPr="00640D01">
              <w:t>p.m.–</w:t>
            </w:r>
            <w:r w:rsidRPr="00640D01">
              <w:t>22:00</w:t>
            </w:r>
            <w:r w:rsidR="002201D7" w:rsidRPr="00640D01">
              <w:t xml:space="preserve"> </w:t>
            </w:r>
            <w:r w:rsidR="009C54DD" w:rsidRPr="00640D01">
              <w:t>p.m.</w:t>
            </w:r>
          </w:p>
        </w:tc>
        <w:tc>
          <w:tcPr>
            <w:tcW w:w="913" w:type="pct"/>
            <w:vAlign w:val="center"/>
          </w:tcPr>
          <w:p w14:paraId="39CAAB06" w14:textId="40AD1CC7" w:rsidR="00EE205A" w:rsidRPr="00640D01" w:rsidRDefault="00EE205A" w:rsidP="00B95FFB">
            <w:pPr>
              <w:pStyle w:val="TableText"/>
              <w:rPr>
                <w:color w:val="4C0203"/>
              </w:rPr>
            </w:pPr>
          </w:p>
        </w:tc>
        <w:tc>
          <w:tcPr>
            <w:tcW w:w="914" w:type="pct"/>
            <w:tcBorders>
              <w:right w:val="dashed" w:sz="4" w:space="0" w:color="auto"/>
            </w:tcBorders>
            <w:vAlign w:val="center"/>
          </w:tcPr>
          <w:p w14:paraId="2F0FEAEF" w14:textId="4048B74F" w:rsidR="00EE205A" w:rsidRPr="00640D01" w:rsidRDefault="00EE205A" w:rsidP="00B95FFB">
            <w:pPr>
              <w:pStyle w:val="TableText"/>
              <w:rPr>
                <w:color w:val="4C0203"/>
              </w:rPr>
            </w:pPr>
          </w:p>
        </w:tc>
        <w:tc>
          <w:tcPr>
            <w:tcW w:w="914" w:type="pct"/>
            <w:tcBorders>
              <w:right w:val="dashed" w:sz="4" w:space="0" w:color="auto"/>
            </w:tcBorders>
            <w:vAlign w:val="center"/>
          </w:tcPr>
          <w:p w14:paraId="10B49FEE" w14:textId="4888B9B2"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7C681D69" w14:textId="7FF72D10" w:rsidR="00EE205A" w:rsidRPr="00640D01" w:rsidRDefault="00EE205A" w:rsidP="00B95FFB">
            <w:pPr>
              <w:pStyle w:val="TableText"/>
              <w:rPr>
                <w:color w:val="4C0203"/>
              </w:rPr>
            </w:pPr>
          </w:p>
        </w:tc>
      </w:tr>
      <w:tr w:rsidR="00EE205A" w:rsidRPr="00640D01" w14:paraId="192A749E" w14:textId="77777777" w:rsidTr="00CE703E">
        <w:trPr>
          <w:trHeight w:val="317"/>
          <w:jc w:val="center"/>
        </w:trPr>
        <w:tc>
          <w:tcPr>
            <w:tcW w:w="1345" w:type="pct"/>
            <w:tcBorders>
              <w:left w:val="single" w:sz="4" w:space="0" w:color="FFFFFF" w:themeColor="background1"/>
            </w:tcBorders>
            <w:vAlign w:val="center"/>
          </w:tcPr>
          <w:p w14:paraId="680A2886" w14:textId="73E03290" w:rsidR="00EE205A" w:rsidRPr="00640D01" w:rsidRDefault="00EE205A" w:rsidP="00B95FFB">
            <w:pPr>
              <w:pStyle w:val="TableText"/>
            </w:pPr>
            <w:r w:rsidRPr="00640D01">
              <w:t>22:00</w:t>
            </w:r>
            <w:r w:rsidR="002201D7" w:rsidRPr="00640D01">
              <w:t xml:space="preserve"> </w:t>
            </w:r>
            <w:r w:rsidR="009C54DD" w:rsidRPr="00640D01">
              <w:t>p.m.–</w:t>
            </w:r>
            <w:r w:rsidRPr="00640D01">
              <w:t>23:00</w:t>
            </w:r>
            <w:r w:rsidR="002201D7" w:rsidRPr="00640D01">
              <w:t xml:space="preserve"> </w:t>
            </w:r>
            <w:r w:rsidR="009C54DD" w:rsidRPr="00640D01">
              <w:t>p.m.</w:t>
            </w:r>
          </w:p>
        </w:tc>
        <w:tc>
          <w:tcPr>
            <w:tcW w:w="913" w:type="pct"/>
            <w:vAlign w:val="center"/>
          </w:tcPr>
          <w:p w14:paraId="68C186A0" w14:textId="26B3A4AC" w:rsidR="00EE205A" w:rsidRPr="00640D01" w:rsidRDefault="00EE205A" w:rsidP="00B95FFB">
            <w:pPr>
              <w:pStyle w:val="TableText"/>
              <w:rPr>
                <w:color w:val="4C0203"/>
              </w:rPr>
            </w:pPr>
          </w:p>
        </w:tc>
        <w:tc>
          <w:tcPr>
            <w:tcW w:w="914" w:type="pct"/>
            <w:tcBorders>
              <w:right w:val="dashed" w:sz="4" w:space="0" w:color="auto"/>
            </w:tcBorders>
            <w:vAlign w:val="center"/>
          </w:tcPr>
          <w:p w14:paraId="6356A22E" w14:textId="34972D5A" w:rsidR="00EE205A" w:rsidRPr="00640D01" w:rsidRDefault="00EE205A" w:rsidP="00B95FFB">
            <w:pPr>
              <w:pStyle w:val="TableText"/>
              <w:rPr>
                <w:color w:val="4C0203"/>
              </w:rPr>
            </w:pPr>
          </w:p>
        </w:tc>
        <w:tc>
          <w:tcPr>
            <w:tcW w:w="914" w:type="pct"/>
            <w:tcBorders>
              <w:right w:val="dashed" w:sz="4" w:space="0" w:color="auto"/>
            </w:tcBorders>
            <w:vAlign w:val="center"/>
          </w:tcPr>
          <w:p w14:paraId="0D98BACC" w14:textId="48B721C4"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3742CFCB" w14:textId="4C35D848" w:rsidR="00EE205A" w:rsidRPr="00640D01" w:rsidRDefault="00EE205A" w:rsidP="00B95FFB">
            <w:pPr>
              <w:pStyle w:val="TableText"/>
              <w:rPr>
                <w:color w:val="4C0203"/>
              </w:rPr>
            </w:pPr>
          </w:p>
        </w:tc>
      </w:tr>
      <w:tr w:rsidR="00EE205A" w:rsidRPr="00640D01" w14:paraId="5594E6B5" w14:textId="77777777" w:rsidTr="00CE703E">
        <w:trPr>
          <w:trHeight w:val="317"/>
          <w:jc w:val="center"/>
        </w:trPr>
        <w:tc>
          <w:tcPr>
            <w:tcW w:w="1345" w:type="pct"/>
            <w:tcBorders>
              <w:left w:val="single" w:sz="4" w:space="0" w:color="FFFFFF" w:themeColor="background1"/>
            </w:tcBorders>
            <w:vAlign w:val="center"/>
          </w:tcPr>
          <w:p w14:paraId="0CC88B06" w14:textId="2EF7346B" w:rsidR="00EE205A" w:rsidRPr="00640D01" w:rsidRDefault="00EE205A" w:rsidP="00B95FFB">
            <w:pPr>
              <w:pStyle w:val="TableText"/>
            </w:pPr>
            <w:r w:rsidRPr="00640D01">
              <w:t>23:00</w:t>
            </w:r>
            <w:r w:rsidR="002201D7" w:rsidRPr="00640D01">
              <w:t xml:space="preserve"> </w:t>
            </w:r>
            <w:r w:rsidR="009C54DD" w:rsidRPr="00640D01">
              <w:t>p.m.–</w:t>
            </w:r>
            <w:r w:rsidRPr="00640D01">
              <w:t>24:00</w:t>
            </w:r>
            <w:r w:rsidR="002201D7" w:rsidRPr="00640D01">
              <w:t xml:space="preserve"> </w:t>
            </w:r>
            <w:r w:rsidR="009C54DD" w:rsidRPr="00640D01">
              <w:t>p.m.</w:t>
            </w:r>
          </w:p>
        </w:tc>
        <w:tc>
          <w:tcPr>
            <w:tcW w:w="913" w:type="pct"/>
            <w:vAlign w:val="center"/>
          </w:tcPr>
          <w:p w14:paraId="048A0C72" w14:textId="512CC00A" w:rsidR="00EE205A" w:rsidRPr="00640D01" w:rsidRDefault="00EE205A" w:rsidP="00B95FFB">
            <w:pPr>
              <w:pStyle w:val="TableText"/>
              <w:rPr>
                <w:color w:val="4C0203"/>
              </w:rPr>
            </w:pPr>
          </w:p>
        </w:tc>
        <w:tc>
          <w:tcPr>
            <w:tcW w:w="914" w:type="pct"/>
            <w:tcBorders>
              <w:right w:val="dashed" w:sz="4" w:space="0" w:color="auto"/>
            </w:tcBorders>
            <w:vAlign w:val="center"/>
          </w:tcPr>
          <w:p w14:paraId="3F0C2BC9" w14:textId="348443E0" w:rsidR="00EE205A" w:rsidRPr="00640D01" w:rsidRDefault="00EE205A" w:rsidP="00B95FFB">
            <w:pPr>
              <w:pStyle w:val="TableText"/>
              <w:rPr>
                <w:color w:val="4C0203"/>
              </w:rPr>
            </w:pPr>
          </w:p>
        </w:tc>
        <w:tc>
          <w:tcPr>
            <w:tcW w:w="914" w:type="pct"/>
            <w:tcBorders>
              <w:right w:val="dashed" w:sz="4" w:space="0" w:color="auto"/>
            </w:tcBorders>
            <w:vAlign w:val="center"/>
          </w:tcPr>
          <w:p w14:paraId="50F8849A" w14:textId="0FD68A4C" w:rsidR="00EE205A" w:rsidRPr="00640D01" w:rsidRDefault="00EE205A" w:rsidP="00B95FFB">
            <w:pPr>
              <w:pStyle w:val="TableText"/>
              <w:rPr>
                <w:color w:val="4C0203"/>
              </w:rPr>
            </w:pPr>
          </w:p>
        </w:tc>
        <w:tc>
          <w:tcPr>
            <w:tcW w:w="914" w:type="pct"/>
            <w:tcBorders>
              <w:right w:val="single" w:sz="4" w:space="0" w:color="FFFFFF" w:themeColor="background1"/>
            </w:tcBorders>
            <w:vAlign w:val="center"/>
          </w:tcPr>
          <w:p w14:paraId="6903E5D4" w14:textId="54C11F31" w:rsidR="00EE205A" w:rsidRPr="00640D01" w:rsidRDefault="00EE205A" w:rsidP="00B95FFB">
            <w:pPr>
              <w:pStyle w:val="TableText"/>
              <w:rPr>
                <w:color w:val="4C0203"/>
              </w:rPr>
            </w:pPr>
          </w:p>
        </w:tc>
      </w:tr>
    </w:tbl>
    <w:p w14:paraId="4E9AD85A" w14:textId="77777777" w:rsidR="00514311" w:rsidRDefault="00514311"/>
    <w:p w14:paraId="60A74743" w14:textId="48E71675" w:rsidR="00514311" w:rsidRDefault="00514311" w:rsidP="00514311">
      <w:pPr>
        <w:pStyle w:val="Caption"/>
      </w:pPr>
      <w:bookmarkStart w:id="111" w:name="_Toc190183127"/>
      <w:r>
        <w:t xml:space="preserve">Table </w:t>
      </w:r>
      <w:r>
        <w:fldChar w:fldCharType="begin"/>
      </w:r>
      <w:r>
        <w:instrText xml:space="preserve"> STYLEREF 1 \s </w:instrText>
      </w:r>
      <w:r>
        <w:fldChar w:fldCharType="separate"/>
      </w:r>
      <w:r>
        <w:rPr>
          <w:noProof/>
        </w:rPr>
        <w:t>5</w:t>
      </w:r>
      <w:r>
        <w:fldChar w:fldCharType="end"/>
      </w:r>
      <w:r>
        <w:noBreakHyphen/>
      </w:r>
      <w:r>
        <w:fldChar w:fldCharType="begin"/>
      </w:r>
      <w:r>
        <w:instrText xml:space="preserve"> SEQ Table \* ARABIC \s 1 </w:instrText>
      </w:r>
      <w:r>
        <w:fldChar w:fldCharType="separate"/>
      </w:r>
      <w:r>
        <w:rPr>
          <w:noProof/>
        </w:rPr>
        <w:t>5</w:t>
      </w:r>
      <w:r>
        <w:fldChar w:fldCharType="end"/>
      </w:r>
      <w:r>
        <w:t>. Barometric Pressure</w:t>
      </w:r>
      <w:bookmarkEnd w:id="111"/>
    </w:p>
    <w:tbl>
      <w:tblPr>
        <w:tblStyle w:val="TTITable"/>
        <w:tblW w:w="5000" w:type="pct"/>
        <w:tblLook w:val="04A0" w:firstRow="1" w:lastRow="0" w:firstColumn="1" w:lastColumn="0" w:noHBand="0" w:noVBand="1"/>
      </w:tblPr>
      <w:tblGrid>
        <w:gridCol w:w="2518"/>
        <w:gridCol w:w="6842"/>
      </w:tblGrid>
      <w:tr w:rsidR="00533245" w:rsidRPr="00514311" w14:paraId="456A8AD7" w14:textId="77777777" w:rsidTr="00514311">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345" w:type="pct"/>
            <w:shd w:val="clear" w:color="auto" w:fill="002060"/>
          </w:tcPr>
          <w:p w14:paraId="61ECC04A" w14:textId="664CB988" w:rsidR="00533245" w:rsidRPr="00514311" w:rsidRDefault="00533245" w:rsidP="00176A31">
            <w:pPr>
              <w:pStyle w:val="TableHeader"/>
              <w:rPr>
                <w:b/>
                <w:bCs/>
              </w:rPr>
            </w:pPr>
            <w:r w:rsidRPr="00514311">
              <w:rPr>
                <w:b/>
                <w:bCs/>
              </w:rPr>
              <w:t>Period</w:t>
            </w:r>
          </w:p>
        </w:tc>
        <w:tc>
          <w:tcPr>
            <w:tcW w:w="3655" w:type="pct"/>
            <w:shd w:val="clear" w:color="auto" w:fill="002060"/>
          </w:tcPr>
          <w:p w14:paraId="639E27D2" w14:textId="5CA2BE64" w:rsidR="00533245" w:rsidRPr="00514311" w:rsidRDefault="00533245" w:rsidP="00176A31">
            <w:pPr>
              <w:pStyle w:val="TableHeader"/>
              <w:cnfStyle w:val="100000000000" w:firstRow="1" w:lastRow="0" w:firstColumn="0" w:lastColumn="0" w:oddVBand="0" w:evenVBand="0" w:oddHBand="0" w:evenHBand="0" w:firstRowFirstColumn="0" w:firstRowLastColumn="0" w:lastRowFirstColumn="0" w:lastRowLastColumn="0"/>
              <w:rPr>
                <w:b/>
                <w:bCs/>
              </w:rPr>
            </w:pPr>
            <w:r w:rsidRPr="00514311">
              <w:rPr>
                <w:b/>
                <w:bCs/>
              </w:rPr>
              <w:t>Barometric Pressure (</w:t>
            </w:r>
            <w:r w:rsidR="009C54DD" w:rsidRPr="00514311">
              <w:rPr>
                <w:b/>
                <w:bCs/>
              </w:rPr>
              <w:t>I</w:t>
            </w:r>
            <w:r w:rsidRPr="00514311">
              <w:rPr>
                <w:b/>
                <w:bCs/>
              </w:rPr>
              <w:t>nches of Mercury)</w:t>
            </w:r>
          </w:p>
        </w:tc>
      </w:tr>
      <w:tr w:rsidR="00533245" w:rsidRPr="00640D01" w14:paraId="690B4929"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1345" w:type="pct"/>
          </w:tcPr>
          <w:p w14:paraId="168DA2AD" w14:textId="1E08CBE5" w:rsidR="00533245" w:rsidRPr="00640D01" w:rsidRDefault="00533245" w:rsidP="00B95FFB">
            <w:pPr>
              <w:pStyle w:val="TableText"/>
            </w:pPr>
            <w:r w:rsidRPr="00640D01">
              <w:t>24-hr</w:t>
            </w:r>
          </w:p>
        </w:tc>
        <w:tc>
          <w:tcPr>
            <w:tcW w:w="3655" w:type="pct"/>
          </w:tcPr>
          <w:p w14:paraId="01CB2306" w14:textId="77777777" w:rsidR="00533245" w:rsidRPr="00640D01" w:rsidRDefault="00533245" w:rsidP="00B95FFB">
            <w:pPr>
              <w:pStyle w:val="TableText"/>
              <w:cnfStyle w:val="000000000000" w:firstRow="0" w:lastRow="0" w:firstColumn="0" w:lastColumn="0" w:oddVBand="0" w:evenVBand="0" w:oddHBand="0" w:evenHBand="0" w:firstRowFirstColumn="0" w:firstRowLastColumn="0" w:lastRowFirstColumn="0" w:lastRowLastColumn="0"/>
              <w:rPr>
                <w:color w:val="4C0203"/>
              </w:rPr>
            </w:pPr>
          </w:p>
        </w:tc>
      </w:tr>
    </w:tbl>
    <w:p w14:paraId="4C638EC9" w14:textId="77777777" w:rsidR="00EE205A" w:rsidRPr="00640D01" w:rsidRDefault="00EE205A" w:rsidP="00EE205A">
      <w:pPr>
        <w:spacing w:line="22" w:lineRule="atLeast"/>
        <w:rPr>
          <w:rFonts w:cs="Segoe UI"/>
          <w:color w:val="000000" w:themeColor="text1"/>
        </w:rPr>
      </w:pPr>
    </w:p>
    <w:p w14:paraId="2269977A" w14:textId="54B236F0" w:rsidR="00EE205A" w:rsidRPr="00640D01" w:rsidRDefault="00EE205A" w:rsidP="00491785">
      <w:pPr>
        <w:pStyle w:val="TableCaption"/>
        <w:rPr>
          <w:i/>
        </w:rPr>
      </w:pPr>
      <w:bookmarkStart w:id="112" w:name="_Ref138257403"/>
      <w:bookmarkStart w:id="113" w:name="_Toc141792904"/>
      <w:bookmarkStart w:id="114" w:name="_Toc190183128"/>
      <w:r w:rsidRPr="00640D01">
        <w:lastRenderedPageBreak/>
        <w:t xml:space="preserve">Table </w:t>
      </w:r>
      <w:r w:rsidR="00514311">
        <w:fldChar w:fldCharType="begin"/>
      </w:r>
      <w:r w:rsidR="00514311">
        <w:instrText xml:space="preserve"> STYLEREF 1 \s </w:instrText>
      </w:r>
      <w:r w:rsidR="00514311">
        <w:fldChar w:fldCharType="separate"/>
      </w:r>
      <w:r w:rsidR="00514311">
        <w:rPr>
          <w:noProof/>
        </w:rPr>
        <w:t>5</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6</w:t>
      </w:r>
      <w:r w:rsidR="00514311">
        <w:fldChar w:fldCharType="end"/>
      </w:r>
      <w:bookmarkEnd w:id="112"/>
      <w:r w:rsidRPr="00640D01">
        <w:t>. I/M Inputs</w:t>
      </w:r>
      <w:bookmarkEnd w:id="113"/>
      <w:bookmarkEnd w:id="114"/>
    </w:p>
    <w:tbl>
      <w:tblPr>
        <w:tblStyle w:val="TableGrid"/>
        <w:tblW w:w="0" w:type="auto"/>
        <w:tblLayout w:type="fixed"/>
        <w:tblCellMar>
          <w:top w:w="29" w:type="dxa"/>
          <w:bottom w:w="29" w:type="dxa"/>
        </w:tblCellMar>
        <w:tblLook w:val="04A0" w:firstRow="1" w:lastRow="0" w:firstColumn="1" w:lastColumn="0" w:noHBand="0" w:noVBand="1"/>
      </w:tblPr>
      <w:tblGrid>
        <w:gridCol w:w="1705"/>
        <w:gridCol w:w="1274"/>
        <w:gridCol w:w="1274"/>
        <w:gridCol w:w="1274"/>
        <w:gridCol w:w="1274"/>
        <w:gridCol w:w="1274"/>
        <w:gridCol w:w="1275"/>
      </w:tblGrid>
      <w:tr w:rsidR="005D2E1F" w:rsidRPr="00640D01" w14:paraId="0474ED38" w14:textId="77777777" w:rsidTr="00514311">
        <w:trPr>
          <w:trHeight w:val="317"/>
        </w:trPr>
        <w:tc>
          <w:tcPr>
            <w:tcW w:w="1705" w:type="dxa"/>
            <w:tcBorders>
              <w:left w:val="single" w:sz="4" w:space="0" w:color="FFFFFF" w:themeColor="background1"/>
              <w:right w:val="single" w:sz="4" w:space="0" w:color="FFFFFF" w:themeColor="background1"/>
            </w:tcBorders>
            <w:shd w:val="clear" w:color="auto" w:fill="002060"/>
            <w:vAlign w:val="center"/>
          </w:tcPr>
          <w:p w14:paraId="47E4F0B9" w14:textId="77777777" w:rsidR="00EE205A" w:rsidRPr="00640D01" w:rsidRDefault="00EE205A" w:rsidP="009C54DD">
            <w:pPr>
              <w:pStyle w:val="TableHeader"/>
              <w:keepNext/>
            </w:pPr>
            <w:r w:rsidRPr="00640D01">
              <w:t>Factor</w:t>
            </w:r>
          </w:p>
        </w:tc>
        <w:tc>
          <w:tcPr>
            <w:tcW w:w="7645" w:type="dxa"/>
            <w:gridSpan w:val="6"/>
            <w:tcBorders>
              <w:left w:val="single" w:sz="4" w:space="0" w:color="FFFFFF" w:themeColor="background1"/>
              <w:right w:val="single" w:sz="4" w:space="0" w:color="FFFFFF" w:themeColor="background1"/>
            </w:tcBorders>
            <w:shd w:val="clear" w:color="auto" w:fill="002060"/>
            <w:vAlign w:val="center"/>
          </w:tcPr>
          <w:p w14:paraId="34F3B509" w14:textId="77777777" w:rsidR="00EE205A" w:rsidRPr="00640D01" w:rsidRDefault="00EE205A" w:rsidP="009C54DD">
            <w:pPr>
              <w:pStyle w:val="TableHeader"/>
              <w:keepNext/>
            </w:pPr>
            <w:r w:rsidRPr="00640D01">
              <w:t>I/M Information</w:t>
            </w:r>
          </w:p>
        </w:tc>
      </w:tr>
      <w:tr w:rsidR="00EE205A" w:rsidRPr="00640D01" w14:paraId="7A2A7B13" w14:textId="77777777" w:rsidTr="00514311">
        <w:trPr>
          <w:trHeight w:val="317"/>
        </w:trPr>
        <w:tc>
          <w:tcPr>
            <w:tcW w:w="1705" w:type="dxa"/>
            <w:tcBorders>
              <w:left w:val="single" w:sz="4" w:space="0" w:color="FFFFFF" w:themeColor="background1"/>
            </w:tcBorders>
            <w:vAlign w:val="center"/>
          </w:tcPr>
          <w:p w14:paraId="14BD33BF" w14:textId="5BD2ADDD" w:rsidR="00EE205A" w:rsidRPr="00640D01" w:rsidRDefault="00EE205A" w:rsidP="009C54DD">
            <w:pPr>
              <w:pStyle w:val="TableText"/>
              <w:keepNext/>
              <w:keepLines/>
            </w:pPr>
            <w:r w:rsidRPr="00640D01">
              <w:t xml:space="preserve">Test </w:t>
            </w:r>
            <w:r w:rsidR="00D71BDA">
              <w:t>s</w:t>
            </w:r>
            <w:r w:rsidRPr="00640D01">
              <w:t xml:space="preserve">tandards </w:t>
            </w:r>
            <w:r w:rsidR="00D71BDA">
              <w:t>d</w:t>
            </w:r>
            <w:r w:rsidRPr="00640D01">
              <w:t>escription</w:t>
            </w:r>
          </w:p>
        </w:tc>
        <w:tc>
          <w:tcPr>
            <w:tcW w:w="1274" w:type="dxa"/>
            <w:vAlign w:val="center"/>
          </w:tcPr>
          <w:p w14:paraId="1ED30D7F" w14:textId="575124C0" w:rsidR="00EE205A" w:rsidRPr="00640D01" w:rsidRDefault="00EE205A" w:rsidP="003373EF">
            <w:pPr>
              <w:pStyle w:val="TableText"/>
              <w:keepNext/>
              <w:keepLines/>
            </w:pPr>
            <w:r w:rsidRPr="00640D01">
              <w:t>Two-mode, 2500</w:t>
            </w:r>
            <w:r w:rsidR="003373EF" w:rsidRPr="00640D01">
              <w:t> </w:t>
            </w:r>
            <w:r w:rsidRPr="00640D01">
              <w:t>RPM/</w:t>
            </w:r>
            <w:r w:rsidR="003373EF" w:rsidRPr="00640D01">
              <w:br/>
            </w:r>
            <w:r w:rsidR="009C54DD" w:rsidRPr="00640D01">
              <w:t>idle test</w:t>
            </w:r>
          </w:p>
        </w:tc>
        <w:tc>
          <w:tcPr>
            <w:tcW w:w="1274" w:type="dxa"/>
            <w:vAlign w:val="center"/>
          </w:tcPr>
          <w:p w14:paraId="21B9779D" w14:textId="6A04DB9A" w:rsidR="00EE205A" w:rsidRPr="00640D01" w:rsidRDefault="00EE205A" w:rsidP="009C54DD">
            <w:pPr>
              <w:pStyle w:val="TableText"/>
              <w:keepNext/>
              <w:keepLines/>
            </w:pPr>
            <w:r w:rsidRPr="00640D01">
              <w:t xml:space="preserve">Evaporative </w:t>
            </w:r>
            <w:r w:rsidR="009C54DD" w:rsidRPr="00640D01">
              <w:t>gas</w:t>
            </w:r>
          </w:p>
          <w:p w14:paraId="632E7788" w14:textId="0ADE37E5" w:rsidR="00EE205A" w:rsidRPr="00640D01" w:rsidRDefault="009C54DD" w:rsidP="009C54DD">
            <w:pPr>
              <w:pStyle w:val="TableText"/>
              <w:keepNext/>
              <w:keepLines/>
            </w:pPr>
            <w:r w:rsidRPr="00640D01">
              <w:t>cap che</w:t>
            </w:r>
            <w:r w:rsidR="00EE205A" w:rsidRPr="00640D01">
              <w:t>ck</w:t>
            </w:r>
          </w:p>
        </w:tc>
        <w:tc>
          <w:tcPr>
            <w:tcW w:w="1274" w:type="dxa"/>
            <w:vAlign w:val="center"/>
          </w:tcPr>
          <w:p w14:paraId="5AD210E7" w14:textId="4D0011C2" w:rsidR="00CA7E29" w:rsidRPr="00640D01" w:rsidRDefault="00EE205A" w:rsidP="009C54DD">
            <w:pPr>
              <w:pStyle w:val="TableText"/>
              <w:keepNext/>
              <w:keepLines/>
            </w:pPr>
            <w:r w:rsidRPr="00640D01">
              <w:t>Exhaust</w:t>
            </w:r>
          </w:p>
          <w:p w14:paraId="08AC90C6" w14:textId="5EFBC51F" w:rsidR="00EE205A" w:rsidRPr="00640D01" w:rsidRDefault="00CA7E29" w:rsidP="009C54DD">
            <w:pPr>
              <w:pStyle w:val="TableText"/>
              <w:keepNext/>
              <w:keepLines/>
            </w:pPr>
            <w:r w:rsidRPr="00640D01">
              <w:t>onboard diagnostics (</w:t>
            </w:r>
            <w:r w:rsidR="00EE205A" w:rsidRPr="00640D01">
              <w:t>OBD</w:t>
            </w:r>
            <w:r w:rsidRPr="00640D01">
              <w:t>)</w:t>
            </w:r>
            <w:r w:rsidR="00EE205A" w:rsidRPr="00640D01">
              <w:t xml:space="preserve"> </w:t>
            </w:r>
            <w:r w:rsidR="00517A5D" w:rsidRPr="00640D01">
              <w:t>check</w:t>
            </w:r>
          </w:p>
        </w:tc>
        <w:tc>
          <w:tcPr>
            <w:tcW w:w="1274" w:type="dxa"/>
            <w:vAlign w:val="center"/>
          </w:tcPr>
          <w:p w14:paraId="5F3AB2C7" w14:textId="1FEB319C" w:rsidR="00EE205A" w:rsidRPr="00640D01" w:rsidRDefault="00EE205A" w:rsidP="009C54DD">
            <w:pPr>
              <w:pStyle w:val="TableText"/>
              <w:keepNext/>
              <w:keepLines/>
            </w:pPr>
            <w:r w:rsidRPr="00640D01">
              <w:t xml:space="preserve">Evaporative </w:t>
            </w:r>
            <w:r w:rsidR="00517A5D" w:rsidRPr="00640D01">
              <w:t>gas</w:t>
            </w:r>
          </w:p>
          <w:p w14:paraId="69E954A2" w14:textId="14B9F7F2" w:rsidR="00EE205A" w:rsidRPr="00640D01" w:rsidRDefault="00517A5D" w:rsidP="009C54DD">
            <w:pPr>
              <w:pStyle w:val="TableText"/>
              <w:keepNext/>
              <w:keepLines/>
            </w:pPr>
            <w:r w:rsidRPr="00640D01">
              <w:t xml:space="preserve">cap and </w:t>
            </w:r>
            <w:r w:rsidR="00EE205A" w:rsidRPr="00640D01">
              <w:t xml:space="preserve">OBD </w:t>
            </w:r>
            <w:r w:rsidRPr="00640D01">
              <w:t>check</w:t>
            </w:r>
          </w:p>
        </w:tc>
        <w:tc>
          <w:tcPr>
            <w:tcW w:w="1274" w:type="dxa"/>
            <w:tcBorders>
              <w:right w:val="dashed" w:sz="4" w:space="0" w:color="auto"/>
            </w:tcBorders>
            <w:vAlign w:val="center"/>
          </w:tcPr>
          <w:p w14:paraId="3760AA9C" w14:textId="17D28735" w:rsidR="00EE205A" w:rsidRPr="00640D01" w:rsidRDefault="00EE205A" w:rsidP="009C54DD">
            <w:pPr>
              <w:pStyle w:val="TableText"/>
              <w:keepNext/>
              <w:keepLines/>
            </w:pPr>
            <w:r w:rsidRPr="00640D01">
              <w:t xml:space="preserve">Exhaust OBD </w:t>
            </w:r>
            <w:r w:rsidR="00517A5D" w:rsidRPr="00640D01">
              <w:t>check</w:t>
            </w:r>
          </w:p>
        </w:tc>
        <w:tc>
          <w:tcPr>
            <w:tcW w:w="1275" w:type="dxa"/>
            <w:tcBorders>
              <w:right w:val="single" w:sz="4" w:space="0" w:color="FFFFFF" w:themeColor="background1"/>
            </w:tcBorders>
            <w:vAlign w:val="center"/>
          </w:tcPr>
          <w:p w14:paraId="127E01C2" w14:textId="3E72DCD1" w:rsidR="00EE205A" w:rsidRPr="00640D01" w:rsidRDefault="00EE205A" w:rsidP="009C54DD">
            <w:pPr>
              <w:pStyle w:val="TableText"/>
              <w:keepNext/>
              <w:keepLines/>
            </w:pPr>
            <w:r w:rsidRPr="00640D01">
              <w:t xml:space="preserve">Evaporative </w:t>
            </w:r>
            <w:r w:rsidR="00517A5D" w:rsidRPr="00640D01">
              <w:t>gas</w:t>
            </w:r>
          </w:p>
          <w:p w14:paraId="07163636" w14:textId="7FAE7D55" w:rsidR="00EE205A" w:rsidRPr="00640D01" w:rsidRDefault="00517A5D" w:rsidP="009C54DD">
            <w:pPr>
              <w:pStyle w:val="TableText"/>
              <w:keepNext/>
              <w:keepLines/>
            </w:pPr>
            <w:r w:rsidRPr="00640D01">
              <w:t xml:space="preserve">cap and </w:t>
            </w:r>
            <w:r w:rsidR="00EE205A" w:rsidRPr="00640D01">
              <w:t xml:space="preserve">OBD </w:t>
            </w:r>
            <w:r w:rsidRPr="00640D01">
              <w:t>check</w:t>
            </w:r>
          </w:p>
        </w:tc>
      </w:tr>
      <w:tr w:rsidR="00EE205A" w:rsidRPr="00640D01" w14:paraId="49FC0C4E" w14:textId="77777777" w:rsidTr="00514311">
        <w:trPr>
          <w:trHeight w:val="317"/>
        </w:trPr>
        <w:tc>
          <w:tcPr>
            <w:tcW w:w="1705" w:type="dxa"/>
            <w:tcBorders>
              <w:left w:val="single" w:sz="4" w:space="0" w:color="FFFFFF" w:themeColor="background1"/>
            </w:tcBorders>
            <w:vAlign w:val="center"/>
          </w:tcPr>
          <w:p w14:paraId="4AC0705A" w14:textId="77777777" w:rsidR="00EE205A" w:rsidRPr="00640D01" w:rsidRDefault="00EE205A" w:rsidP="009C54DD">
            <w:pPr>
              <w:pStyle w:val="TableText"/>
            </w:pPr>
            <w:r w:rsidRPr="00640D01">
              <w:t>Test Standards ID</w:t>
            </w:r>
          </w:p>
        </w:tc>
        <w:tc>
          <w:tcPr>
            <w:tcW w:w="1274" w:type="dxa"/>
            <w:vAlign w:val="center"/>
          </w:tcPr>
          <w:p w14:paraId="53A30EA0" w14:textId="77777777" w:rsidR="00EE205A" w:rsidRPr="00640D01" w:rsidRDefault="00EE205A" w:rsidP="009C54DD">
            <w:pPr>
              <w:pStyle w:val="TableText"/>
            </w:pPr>
            <w:r w:rsidRPr="00640D01">
              <w:t>12</w:t>
            </w:r>
          </w:p>
        </w:tc>
        <w:tc>
          <w:tcPr>
            <w:tcW w:w="1274" w:type="dxa"/>
            <w:vAlign w:val="center"/>
          </w:tcPr>
          <w:p w14:paraId="3174F97A" w14:textId="77777777" w:rsidR="00EE205A" w:rsidRPr="00640D01" w:rsidRDefault="00EE205A" w:rsidP="009C54DD">
            <w:pPr>
              <w:pStyle w:val="TableText"/>
            </w:pPr>
            <w:r w:rsidRPr="00640D01">
              <w:t>41</w:t>
            </w:r>
          </w:p>
        </w:tc>
        <w:tc>
          <w:tcPr>
            <w:tcW w:w="1274" w:type="dxa"/>
            <w:vAlign w:val="center"/>
          </w:tcPr>
          <w:p w14:paraId="6F937FA1" w14:textId="77777777" w:rsidR="00EE205A" w:rsidRPr="00640D01" w:rsidRDefault="00EE205A" w:rsidP="009C54DD">
            <w:pPr>
              <w:pStyle w:val="TableText"/>
            </w:pPr>
            <w:r w:rsidRPr="00640D01">
              <w:t>51</w:t>
            </w:r>
          </w:p>
        </w:tc>
        <w:tc>
          <w:tcPr>
            <w:tcW w:w="1274" w:type="dxa"/>
            <w:vAlign w:val="center"/>
          </w:tcPr>
          <w:p w14:paraId="08943A2E" w14:textId="77777777" w:rsidR="00EE205A" w:rsidRPr="00640D01" w:rsidRDefault="00EE205A" w:rsidP="009C54DD">
            <w:pPr>
              <w:pStyle w:val="TableText"/>
            </w:pPr>
            <w:r w:rsidRPr="00640D01">
              <w:t>45</w:t>
            </w:r>
          </w:p>
        </w:tc>
        <w:tc>
          <w:tcPr>
            <w:tcW w:w="1274" w:type="dxa"/>
            <w:tcBorders>
              <w:right w:val="dashed" w:sz="4" w:space="0" w:color="auto"/>
            </w:tcBorders>
            <w:vAlign w:val="center"/>
          </w:tcPr>
          <w:p w14:paraId="39889F66" w14:textId="77777777" w:rsidR="00EE205A" w:rsidRPr="00640D01" w:rsidRDefault="00EE205A" w:rsidP="009C54DD">
            <w:pPr>
              <w:pStyle w:val="TableText"/>
            </w:pPr>
            <w:r w:rsidRPr="00640D01">
              <w:t>51</w:t>
            </w:r>
          </w:p>
        </w:tc>
        <w:tc>
          <w:tcPr>
            <w:tcW w:w="1275" w:type="dxa"/>
            <w:tcBorders>
              <w:right w:val="single" w:sz="4" w:space="0" w:color="FFFFFF" w:themeColor="background1"/>
            </w:tcBorders>
            <w:vAlign w:val="center"/>
          </w:tcPr>
          <w:p w14:paraId="4957D7BB" w14:textId="77777777" w:rsidR="00EE205A" w:rsidRPr="00640D01" w:rsidRDefault="00EE205A" w:rsidP="009C54DD">
            <w:pPr>
              <w:pStyle w:val="TableText"/>
            </w:pPr>
            <w:r w:rsidRPr="00640D01">
              <w:t>45</w:t>
            </w:r>
          </w:p>
        </w:tc>
      </w:tr>
      <w:tr w:rsidR="00EE205A" w:rsidRPr="00640D01" w14:paraId="7EDA97A3" w14:textId="77777777" w:rsidTr="00514311">
        <w:trPr>
          <w:trHeight w:val="317"/>
        </w:trPr>
        <w:tc>
          <w:tcPr>
            <w:tcW w:w="1705" w:type="dxa"/>
            <w:tcBorders>
              <w:left w:val="single" w:sz="4" w:space="0" w:color="FFFFFF" w:themeColor="background1"/>
            </w:tcBorders>
            <w:vAlign w:val="center"/>
          </w:tcPr>
          <w:p w14:paraId="6570F156" w14:textId="77777777" w:rsidR="00EE205A" w:rsidRPr="00640D01" w:rsidRDefault="00EE205A" w:rsidP="009C54DD">
            <w:pPr>
              <w:pStyle w:val="TableText"/>
            </w:pPr>
            <w:r w:rsidRPr="00640D01">
              <w:t>Year ID</w:t>
            </w:r>
          </w:p>
        </w:tc>
        <w:tc>
          <w:tcPr>
            <w:tcW w:w="1274" w:type="dxa"/>
            <w:tcBorders>
              <w:right w:val="dashed" w:sz="4" w:space="0" w:color="auto"/>
            </w:tcBorders>
            <w:vAlign w:val="center"/>
          </w:tcPr>
          <w:p w14:paraId="38E76AC0" w14:textId="7A10D3D8" w:rsidR="00EE205A" w:rsidRPr="00640D01" w:rsidRDefault="002A0ED1" w:rsidP="009C54DD">
            <w:pPr>
              <w:pStyle w:val="TableText"/>
              <w:rPr>
                <w:color w:val="7030A0"/>
              </w:rPr>
            </w:pPr>
            <w:r w:rsidRPr="00640D01">
              <w:rPr>
                <w:color w:val="7030A0"/>
              </w:rPr>
              <w:t>2017</w:t>
            </w:r>
            <w:r w:rsidR="009C54DD" w:rsidRPr="00640D01">
              <w:rPr>
                <w:color w:val="7030A0"/>
              </w:rPr>
              <w:t>–</w:t>
            </w:r>
            <w:r w:rsidR="00EE205A" w:rsidRPr="00640D01">
              <w:rPr>
                <w:color w:val="7030A0"/>
              </w:rPr>
              <w:t>2019</w:t>
            </w:r>
          </w:p>
        </w:tc>
        <w:tc>
          <w:tcPr>
            <w:tcW w:w="1274" w:type="dxa"/>
            <w:vAlign w:val="center"/>
          </w:tcPr>
          <w:p w14:paraId="20F720EB" w14:textId="667B6A44" w:rsidR="00EE205A" w:rsidRPr="00640D01" w:rsidRDefault="002A0ED1" w:rsidP="009C54DD">
            <w:pPr>
              <w:pStyle w:val="TableText"/>
              <w:rPr>
                <w:color w:val="7030A0"/>
              </w:rPr>
            </w:pPr>
            <w:r w:rsidRPr="00640D01">
              <w:rPr>
                <w:color w:val="7030A0"/>
              </w:rPr>
              <w:t>2017</w:t>
            </w:r>
            <w:r w:rsidR="009C54DD" w:rsidRPr="00640D01">
              <w:rPr>
                <w:color w:val="7030A0"/>
              </w:rPr>
              <w:t>–</w:t>
            </w:r>
            <w:r w:rsidR="00EE205A" w:rsidRPr="00640D01">
              <w:rPr>
                <w:color w:val="7030A0"/>
              </w:rPr>
              <w:t>2019</w:t>
            </w:r>
          </w:p>
        </w:tc>
        <w:tc>
          <w:tcPr>
            <w:tcW w:w="1274" w:type="dxa"/>
            <w:vAlign w:val="center"/>
          </w:tcPr>
          <w:p w14:paraId="43B690B1" w14:textId="0852801A" w:rsidR="00EE205A" w:rsidRPr="00640D01" w:rsidRDefault="002A0ED1" w:rsidP="009C54DD">
            <w:pPr>
              <w:pStyle w:val="TableText"/>
              <w:rPr>
                <w:color w:val="7030A0"/>
              </w:rPr>
            </w:pPr>
            <w:r w:rsidRPr="00640D01">
              <w:rPr>
                <w:color w:val="7030A0"/>
              </w:rPr>
              <w:t>2017</w:t>
            </w:r>
            <w:r w:rsidR="009C54DD" w:rsidRPr="00640D01">
              <w:rPr>
                <w:color w:val="7030A0"/>
              </w:rPr>
              <w:t>–</w:t>
            </w:r>
            <w:r w:rsidR="00EE205A" w:rsidRPr="00640D01">
              <w:rPr>
                <w:color w:val="7030A0"/>
              </w:rPr>
              <w:t>2019</w:t>
            </w:r>
          </w:p>
        </w:tc>
        <w:tc>
          <w:tcPr>
            <w:tcW w:w="1274" w:type="dxa"/>
            <w:vAlign w:val="center"/>
          </w:tcPr>
          <w:p w14:paraId="4DD9AE6A" w14:textId="599A958F" w:rsidR="00EE205A" w:rsidRPr="00640D01" w:rsidRDefault="002A0ED1" w:rsidP="009C54DD">
            <w:pPr>
              <w:pStyle w:val="TableText"/>
              <w:rPr>
                <w:color w:val="7030A0"/>
              </w:rPr>
            </w:pPr>
            <w:r w:rsidRPr="00640D01">
              <w:rPr>
                <w:color w:val="7030A0"/>
              </w:rPr>
              <w:t>2017</w:t>
            </w:r>
            <w:r w:rsidR="009C54DD" w:rsidRPr="00640D01">
              <w:rPr>
                <w:color w:val="7030A0"/>
              </w:rPr>
              <w:t>–</w:t>
            </w:r>
            <w:r w:rsidR="00EE205A" w:rsidRPr="00640D01">
              <w:rPr>
                <w:color w:val="7030A0"/>
              </w:rPr>
              <w:t>2019</w:t>
            </w:r>
          </w:p>
        </w:tc>
        <w:tc>
          <w:tcPr>
            <w:tcW w:w="1274" w:type="dxa"/>
            <w:tcBorders>
              <w:right w:val="dashed" w:sz="4" w:space="0" w:color="auto"/>
            </w:tcBorders>
            <w:vAlign w:val="center"/>
          </w:tcPr>
          <w:p w14:paraId="330509BA" w14:textId="1A686F16" w:rsidR="00EE205A" w:rsidRPr="00640D01" w:rsidRDefault="00EE205A" w:rsidP="009C54DD">
            <w:pPr>
              <w:pStyle w:val="TableText"/>
              <w:rPr>
                <w:color w:val="7030A0"/>
              </w:rPr>
            </w:pPr>
            <w:r w:rsidRPr="00640D01">
              <w:rPr>
                <w:color w:val="7030A0"/>
              </w:rPr>
              <w:t>2020</w:t>
            </w:r>
            <w:r w:rsidR="009C54DD" w:rsidRPr="00640D01">
              <w:rPr>
                <w:color w:val="7030A0"/>
              </w:rPr>
              <w:t>–</w:t>
            </w:r>
            <w:r w:rsidRPr="00640D01">
              <w:rPr>
                <w:color w:val="7030A0"/>
              </w:rPr>
              <w:t>2050</w:t>
            </w:r>
          </w:p>
        </w:tc>
        <w:tc>
          <w:tcPr>
            <w:tcW w:w="1275" w:type="dxa"/>
            <w:tcBorders>
              <w:right w:val="single" w:sz="4" w:space="0" w:color="FFFFFF" w:themeColor="background1"/>
            </w:tcBorders>
            <w:vAlign w:val="center"/>
          </w:tcPr>
          <w:p w14:paraId="6352E9A7" w14:textId="337A5431" w:rsidR="00EE205A" w:rsidRPr="00640D01" w:rsidRDefault="00EE205A" w:rsidP="009C54DD">
            <w:pPr>
              <w:pStyle w:val="TableText"/>
              <w:rPr>
                <w:color w:val="7030A0"/>
              </w:rPr>
            </w:pPr>
            <w:r w:rsidRPr="00640D01">
              <w:rPr>
                <w:color w:val="7030A0"/>
              </w:rPr>
              <w:t>2020</w:t>
            </w:r>
            <w:r w:rsidR="009C54DD" w:rsidRPr="00640D01">
              <w:rPr>
                <w:color w:val="7030A0"/>
              </w:rPr>
              <w:t>–</w:t>
            </w:r>
            <w:r w:rsidRPr="00640D01">
              <w:rPr>
                <w:color w:val="7030A0"/>
              </w:rPr>
              <w:t>2050</w:t>
            </w:r>
          </w:p>
        </w:tc>
      </w:tr>
      <w:tr w:rsidR="00EE205A" w:rsidRPr="00640D01" w14:paraId="49941E8E" w14:textId="77777777" w:rsidTr="00514311">
        <w:trPr>
          <w:trHeight w:val="317"/>
        </w:trPr>
        <w:tc>
          <w:tcPr>
            <w:tcW w:w="1705" w:type="dxa"/>
            <w:tcBorders>
              <w:left w:val="single" w:sz="4" w:space="0" w:color="FFFFFF" w:themeColor="background1"/>
            </w:tcBorders>
            <w:vAlign w:val="center"/>
          </w:tcPr>
          <w:p w14:paraId="22F83E9B" w14:textId="1F294987" w:rsidR="00EE205A" w:rsidRPr="00640D01" w:rsidRDefault="00EE205A" w:rsidP="009C54DD">
            <w:pPr>
              <w:pStyle w:val="TableText"/>
            </w:pPr>
            <w:r w:rsidRPr="00640D01">
              <w:t xml:space="preserve">I/M </w:t>
            </w:r>
            <w:r w:rsidR="00D71BDA">
              <w:t>p</w:t>
            </w:r>
            <w:r w:rsidRPr="00640D01">
              <w:t>rogram ID</w:t>
            </w:r>
          </w:p>
        </w:tc>
        <w:tc>
          <w:tcPr>
            <w:tcW w:w="1274" w:type="dxa"/>
            <w:vAlign w:val="center"/>
          </w:tcPr>
          <w:p w14:paraId="2886737D" w14:textId="77777777" w:rsidR="00EE205A" w:rsidRPr="00640D01" w:rsidRDefault="00EE205A" w:rsidP="009C54DD">
            <w:pPr>
              <w:pStyle w:val="TableText"/>
              <w:rPr>
                <w:color w:val="7030A0"/>
              </w:rPr>
            </w:pPr>
            <w:r w:rsidRPr="00640D01">
              <w:rPr>
                <w:color w:val="7030A0"/>
              </w:rPr>
              <w:t>N/A</w:t>
            </w:r>
          </w:p>
        </w:tc>
        <w:tc>
          <w:tcPr>
            <w:tcW w:w="1274" w:type="dxa"/>
            <w:vAlign w:val="center"/>
          </w:tcPr>
          <w:p w14:paraId="49093835" w14:textId="77777777" w:rsidR="00EE205A" w:rsidRPr="00640D01" w:rsidRDefault="00EE205A" w:rsidP="009C54DD">
            <w:pPr>
              <w:pStyle w:val="TableText"/>
              <w:rPr>
                <w:color w:val="7030A0"/>
              </w:rPr>
            </w:pPr>
            <w:r w:rsidRPr="00640D01">
              <w:rPr>
                <w:color w:val="7030A0"/>
              </w:rPr>
              <w:t>N/A</w:t>
            </w:r>
          </w:p>
        </w:tc>
        <w:tc>
          <w:tcPr>
            <w:tcW w:w="1274" w:type="dxa"/>
            <w:vAlign w:val="center"/>
          </w:tcPr>
          <w:p w14:paraId="01BE3322" w14:textId="77777777" w:rsidR="00EE205A" w:rsidRPr="00640D01" w:rsidRDefault="00EE205A" w:rsidP="009C54DD">
            <w:pPr>
              <w:pStyle w:val="TableText"/>
              <w:rPr>
                <w:color w:val="7030A0"/>
              </w:rPr>
            </w:pPr>
            <w:r w:rsidRPr="00640D01">
              <w:rPr>
                <w:color w:val="7030A0"/>
              </w:rPr>
              <w:t>N/A</w:t>
            </w:r>
          </w:p>
        </w:tc>
        <w:tc>
          <w:tcPr>
            <w:tcW w:w="1274" w:type="dxa"/>
            <w:vAlign w:val="center"/>
          </w:tcPr>
          <w:p w14:paraId="78BC45B6" w14:textId="77777777" w:rsidR="00EE205A" w:rsidRPr="00640D01" w:rsidRDefault="00EE205A" w:rsidP="009C54DD">
            <w:pPr>
              <w:pStyle w:val="TableText"/>
              <w:rPr>
                <w:color w:val="7030A0"/>
              </w:rPr>
            </w:pPr>
            <w:r w:rsidRPr="00640D01">
              <w:rPr>
                <w:color w:val="7030A0"/>
              </w:rPr>
              <w:t>N/A</w:t>
            </w:r>
          </w:p>
        </w:tc>
        <w:tc>
          <w:tcPr>
            <w:tcW w:w="1274" w:type="dxa"/>
            <w:tcBorders>
              <w:right w:val="dashed" w:sz="4" w:space="0" w:color="auto"/>
            </w:tcBorders>
            <w:vAlign w:val="center"/>
          </w:tcPr>
          <w:p w14:paraId="69CB5752" w14:textId="77777777" w:rsidR="00EE205A" w:rsidRPr="00640D01" w:rsidRDefault="00EE205A" w:rsidP="009C54DD">
            <w:pPr>
              <w:pStyle w:val="TableText"/>
              <w:rPr>
                <w:color w:val="7030A0"/>
              </w:rPr>
            </w:pPr>
            <w:r w:rsidRPr="00640D01">
              <w:rPr>
                <w:color w:val="7030A0"/>
              </w:rPr>
              <w:t>N/A</w:t>
            </w:r>
          </w:p>
        </w:tc>
        <w:tc>
          <w:tcPr>
            <w:tcW w:w="1275" w:type="dxa"/>
            <w:tcBorders>
              <w:right w:val="single" w:sz="4" w:space="0" w:color="FFFFFF" w:themeColor="background1"/>
            </w:tcBorders>
            <w:vAlign w:val="center"/>
          </w:tcPr>
          <w:p w14:paraId="38E1CD77" w14:textId="77777777" w:rsidR="00EE205A" w:rsidRPr="00640D01" w:rsidRDefault="00EE205A" w:rsidP="009C54DD">
            <w:pPr>
              <w:pStyle w:val="TableText"/>
              <w:rPr>
                <w:color w:val="7030A0"/>
              </w:rPr>
            </w:pPr>
            <w:r w:rsidRPr="00640D01">
              <w:rPr>
                <w:color w:val="7030A0"/>
              </w:rPr>
              <w:t>N/A</w:t>
            </w:r>
          </w:p>
        </w:tc>
      </w:tr>
      <w:tr w:rsidR="0066737B" w:rsidRPr="00640D01" w14:paraId="7B84F2CE" w14:textId="77777777" w:rsidTr="00514311">
        <w:trPr>
          <w:trHeight w:val="317"/>
        </w:trPr>
        <w:tc>
          <w:tcPr>
            <w:tcW w:w="1705" w:type="dxa"/>
            <w:tcBorders>
              <w:left w:val="single" w:sz="4" w:space="0" w:color="FFFFFF" w:themeColor="background1"/>
            </w:tcBorders>
            <w:vAlign w:val="center"/>
          </w:tcPr>
          <w:p w14:paraId="04CF4E8E" w14:textId="3FC06637" w:rsidR="0066737B" w:rsidRPr="00640D01" w:rsidRDefault="0066737B" w:rsidP="009C54DD">
            <w:pPr>
              <w:pStyle w:val="TableText"/>
            </w:pPr>
            <w:r w:rsidRPr="00640D01">
              <w:t>Pollutant Process ID</w:t>
            </w:r>
          </w:p>
        </w:tc>
        <w:tc>
          <w:tcPr>
            <w:tcW w:w="1274" w:type="dxa"/>
            <w:vAlign w:val="center"/>
          </w:tcPr>
          <w:p w14:paraId="20055110" w14:textId="58BB0BEE" w:rsidR="0066737B" w:rsidRPr="00640D01" w:rsidRDefault="0066737B" w:rsidP="009C54DD">
            <w:pPr>
              <w:pStyle w:val="TableText"/>
              <w:rPr>
                <w:color w:val="7030A0"/>
              </w:rPr>
            </w:pPr>
            <w:r w:rsidRPr="00640D01">
              <w:rPr>
                <w:color w:val="7030A0"/>
              </w:rPr>
              <w:t>N/A</w:t>
            </w:r>
          </w:p>
        </w:tc>
        <w:tc>
          <w:tcPr>
            <w:tcW w:w="1274" w:type="dxa"/>
            <w:vAlign w:val="center"/>
          </w:tcPr>
          <w:p w14:paraId="0703A47D" w14:textId="1AC57ECF" w:rsidR="0066737B" w:rsidRPr="00640D01" w:rsidRDefault="0066737B" w:rsidP="009C54DD">
            <w:pPr>
              <w:pStyle w:val="TableText"/>
              <w:rPr>
                <w:color w:val="7030A0"/>
              </w:rPr>
            </w:pPr>
            <w:r w:rsidRPr="00640D01">
              <w:rPr>
                <w:color w:val="7030A0"/>
              </w:rPr>
              <w:t>N/A</w:t>
            </w:r>
          </w:p>
        </w:tc>
        <w:tc>
          <w:tcPr>
            <w:tcW w:w="1274" w:type="dxa"/>
            <w:vAlign w:val="center"/>
          </w:tcPr>
          <w:p w14:paraId="31CA0270" w14:textId="259E7A68" w:rsidR="0066737B" w:rsidRPr="00640D01" w:rsidRDefault="0066737B" w:rsidP="009C54DD">
            <w:pPr>
              <w:pStyle w:val="TableText"/>
              <w:rPr>
                <w:color w:val="7030A0"/>
              </w:rPr>
            </w:pPr>
            <w:r w:rsidRPr="00640D01">
              <w:rPr>
                <w:color w:val="7030A0"/>
              </w:rPr>
              <w:t>N/A</w:t>
            </w:r>
          </w:p>
        </w:tc>
        <w:tc>
          <w:tcPr>
            <w:tcW w:w="1274" w:type="dxa"/>
            <w:vAlign w:val="center"/>
          </w:tcPr>
          <w:p w14:paraId="2DCC50EA" w14:textId="4BCAABE4" w:rsidR="0066737B" w:rsidRPr="00640D01" w:rsidRDefault="0066737B" w:rsidP="009C54DD">
            <w:pPr>
              <w:pStyle w:val="TableText"/>
              <w:rPr>
                <w:color w:val="7030A0"/>
              </w:rPr>
            </w:pPr>
            <w:r w:rsidRPr="00640D01">
              <w:rPr>
                <w:color w:val="7030A0"/>
              </w:rPr>
              <w:t>N/A</w:t>
            </w:r>
          </w:p>
        </w:tc>
        <w:tc>
          <w:tcPr>
            <w:tcW w:w="1274" w:type="dxa"/>
            <w:tcBorders>
              <w:right w:val="dashed" w:sz="4" w:space="0" w:color="auto"/>
            </w:tcBorders>
            <w:vAlign w:val="center"/>
          </w:tcPr>
          <w:p w14:paraId="1248ECC3" w14:textId="393127F0" w:rsidR="0066737B" w:rsidRPr="00640D01" w:rsidRDefault="0066737B" w:rsidP="009C54DD">
            <w:pPr>
              <w:pStyle w:val="TableText"/>
              <w:rPr>
                <w:color w:val="7030A0"/>
              </w:rPr>
            </w:pPr>
            <w:r w:rsidRPr="00640D01">
              <w:rPr>
                <w:color w:val="7030A0"/>
              </w:rPr>
              <w:t>N/A</w:t>
            </w:r>
          </w:p>
        </w:tc>
        <w:tc>
          <w:tcPr>
            <w:tcW w:w="1275" w:type="dxa"/>
            <w:tcBorders>
              <w:right w:val="single" w:sz="4" w:space="0" w:color="FFFFFF" w:themeColor="background1"/>
            </w:tcBorders>
            <w:vAlign w:val="center"/>
          </w:tcPr>
          <w:p w14:paraId="12AFC0D2" w14:textId="2DD6016C" w:rsidR="0066737B" w:rsidRPr="00640D01" w:rsidRDefault="0066737B" w:rsidP="009C54DD">
            <w:pPr>
              <w:pStyle w:val="TableText"/>
              <w:rPr>
                <w:color w:val="7030A0"/>
              </w:rPr>
            </w:pPr>
            <w:r w:rsidRPr="00640D01">
              <w:rPr>
                <w:color w:val="7030A0"/>
              </w:rPr>
              <w:t>N/A</w:t>
            </w:r>
          </w:p>
        </w:tc>
      </w:tr>
      <w:tr w:rsidR="00EE205A" w:rsidRPr="00640D01" w14:paraId="7BB9A162" w14:textId="77777777" w:rsidTr="00514311">
        <w:trPr>
          <w:trHeight w:val="317"/>
        </w:trPr>
        <w:tc>
          <w:tcPr>
            <w:tcW w:w="1705" w:type="dxa"/>
            <w:tcBorders>
              <w:left w:val="single" w:sz="4" w:space="0" w:color="FFFFFF" w:themeColor="background1"/>
            </w:tcBorders>
            <w:vAlign w:val="center"/>
          </w:tcPr>
          <w:p w14:paraId="117C2517" w14:textId="09182721" w:rsidR="00EE205A" w:rsidRPr="00640D01" w:rsidRDefault="00EE205A" w:rsidP="009C54DD">
            <w:pPr>
              <w:pStyle w:val="TableText"/>
            </w:pPr>
            <w:r w:rsidRPr="00640D01">
              <w:t xml:space="preserve">Source </w:t>
            </w:r>
            <w:r w:rsidR="00D71BDA">
              <w:t>u</w:t>
            </w:r>
            <w:r w:rsidRPr="00640D01">
              <w:t xml:space="preserve">se </w:t>
            </w:r>
            <w:r w:rsidR="00D71BDA">
              <w:t>t</w:t>
            </w:r>
            <w:r w:rsidRPr="00640D01">
              <w:t>ype</w:t>
            </w:r>
            <w:r w:rsidR="007F5180" w:rsidRPr="00640D01">
              <w:t>*</w:t>
            </w:r>
          </w:p>
        </w:tc>
        <w:tc>
          <w:tcPr>
            <w:tcW w:w="1274" w:type="dxa"/>
            <w:vAlign w:val="center"/>
          </w:tcPr>
          <w:p w14:paraId="62A7A870" w14:textId="77777777" w:rsidR="00EE205A" w:rsidRPr="00640D01" w:rsidRDefault="00EE205A" w:rsidP="009C54DD">
            <w:pPr>
              <w:pStyle w:val="TableText"/>
              <w:rPr>
                <w:color w:val="7030A0"/>
              </w:rPr>
            </w:pPr>
            <w:r w:rsidRPr="00640D01">
              <w:rPr>
                <w:color w:val="7030A0"/>
              </w:rPr>
              <w:t>21, 31, 32</w:t>
            </w:r>
          </w:p>
        </w:tc>
        <w:tc>
          <w:tcPr>
            <w:tcW w:w="1274" w:type="dxa"/>
            <w:vAlign w:val="center"/>
          </w:tcPr>
          <w:p w14:paraId="54F5BCA9" w14:textId="77777777" w:rsidR="00EE205A" w:rsidRPr="00640D01" w:rsidRDefault="00EE205A" w:rsidP="009C54DD">
            <w:pPr>
              <w:pStyle w:val="TableText"/>
              <w:rPr>
                <w:color w:val="7030A0"/>
              </w:rPr>
            </w:pPr>
            <w:r w:rsidRPr="00640D01">
              <w:rPr>
                <w:color w:val="7030A0"/>
              </w:rPr>
              <w:t>21, 31, 32</w:t>
            </w:r>
          </w:p>
        </w:tc>
        <w:tc>
          <w:tcPr>
            <w:tcW w:w="1274" w:type="dxa"/>
            <w:vAlign w:val="center"/>
          </w:tcPr>
          <w:p w14:paraId="72536F6A" w14:textId="77777777" w:rsidR="00EE205A" w:rsidRPr="00640D01" w:rsidRDefault="00EE205A" w:rsidP="009C54DD">
            <w:pPr>
              <w:pStyle w:val="TableText"/>
              <w:rPr>
                <w:color w:val="7030A0"/>
              </w:rPr>
            </w:pPr>
            <w:r w:rsidRPr="00640D01">
              <w:rPr>
                <w:color w:val="7030A0"/>
              </w:rPr>
              <w:t>21, 31, 32</w:t>
            </w:r>
          </w:p>
        </w:tc>
        <w:tc>
          <w:tcPr>
            <w:tcW w:w="1274" w:type="dxa"/>
            <w:vAlign w:val="center"/>
          </w:tcPr>
          <w:p w14:paraId="05E6356A" w14:textId="77777777" w:rsidR="00EE205A" w:rsidRPr="00640D01" w:rsidRDefault="00EE205A" w:rsidP="009C54DD">
            <w:pPr>
              <w:pStyle w:val="TableText"/>
              <w:rPr>
                <w:color w:val="7030A0"/>
              </w:rPr>
            </w:pPr>
            <w:r w:rsidRPr="00640D01">
              <w:rPr>
                <w:color w:val="7030A0"/>
              </w:rPr>
              <w:t>21, 31, 32</w:t>
            </w:r>
          </w:p>
        </w:tc>
        <w:tc>
          <w:tcPr>
            <w:tcW w:w="1274" w:type="dxa"/>
            <w:tcBorders>
              <w:right w:val="dashed" w:sz="4" w:space="0" w:color="auto"/>
            </w:tcBorders>
            <w:vAlign w:val="center"/>
          </w:tcPr>
          <w:p w14:paraId="6B9BD961" w14:textId="77777777" w:rsidR="00EE205A" w:rsidRPr="00640D01" w:rsidRDefault="00EE205A" w:rsidP="009C54DD">
            <w:pPr>
              <w:pStyle w:val="TableText"/>
              <w:rPr>
                <w:color w:val="7030A0"/>
              </w:rPr>
            </w:pPr>
            <w:r w:rsidRPr="00640D01">
              <w:rPr>
                <w:color w:val="7030A0"/>
              </w:rPr>
              <w:t>21, 31, 32</w:t>
            </w:r>
          </w:p>
        </w:tc>
        <w:tc>
          <w:tcPr>
            <w:tcW w:w="1275" w:type="dxa"/>
            <w:tcBorders>
              <w:right w:val="single" w:sz="4" w:space="0" w:color="FFFFFF" w:themeColor="background1"/>
            </w:tcBorders>
            <w:vAlign w:val="center"/>
          </w:tcPr>
          <w:p w14:paraId="54EF4F14" w14:textId="77777777" w:rsidR="00EE205A" w:rsidRPr="00640D01" w:rsidRDefault="00EE205A" w:rsidP="009C54DD">
            <w:pPr>
              <w:pStyle w:val="TableText"/>
              <w:rPr>
                <w:color w:val="7030A0"/>
              </w:rPr>
            </w:pPr>
            <w:r w:rsidRPr="00640D01">
              <w:rPr>
                <w:color w:val="7030A0"/>
              </w:rPr>
              <w:t>21, 31, 32</w:t>
            </w:r>
          </w:p>
        </w:tc>
      </w:tr>
      <w:tr w:rsidR="00EE205A" w:rsidRPr="00640D01" w14:paraId="438E184C" w14:textId="77777777" w:rsidTr="00514311">
        <w:trPr>
          <w:trHeight w:val="317"/>
        </w:trPr>
        <w:tc>
          <w:tcPr>
            <w:tcW w:w="1705" w:type="dxa"/>
            <w:tcBorders>
              <w:left w:val="single" w:sz="4" w:space="0" w:color="FFFFFF" w:themeColor="background1"/>
            </w:tcBorders>
            <w:vAlign w:val="center"/>
          </w:tcPr>
          <w:p w14:paraId="1B7114C1" w14:textId="2336550E" w:rsidR="00EE205A" w:rsidRPr="00640D01" w:rsidRDefault="00EE205A" w:rsidP="009C54DD">
            <w:pPr>
              <w:pStyle w:val="TableText"/>
            </w:pPr>
            <w:r w:rsidRPr="00640D01">
              <w:t xml:space="preserve">Begin </w:t>
            </w:r>
            <w:r w:rsidR="00D71BDA">
              <w:t>m</w:t>
            </w:r>
            <w:r w:rsidRPr="00640D01">
              <w:t xml:space="preserve">odel </w:t>
            </w:r>
            <w:r w:rsidR="00D71BDA">
              <w:t>y</w:t>
            </w:r>
            <w:r w:rsidRPr="00640D01">
              <w:t>ear</w:t>
            </w:r>
          </w:p>
        </w:tc>
        <w:tc>
          <w:tcPr>
            <w:tcW w:w="1274" w:type="dxa"/>
            <w:vAlign w:val="center"/>
          </w:tcPr>
          <w:p w14:paraId="5C35F62B" w14:textId="77777777" w:rsidR="00EE205A" w:rsidRPr="00640D01" w:rsidRDefault="00EE205A" w:rsidP="009C54DD">
            <w:pPr>
              <w:pStyle w:val="TableText"/>
              <w:rPr>
                <w:color w:val="7030A0"/>
              </w:rPr>
            </w:pPr>
            <w:r w:rsidRPr="00640D01">
              <w:rPr>
                <w:color w:val="7030A0"/>
              </w:rPr>
              <w:t>X</w:t>
            </w:r>
          </w:p>
        </w:tc>
        <w:tc>
          <w:tcPr>
            <w:tcW w:w="1274" w:type="dxa"/>
            <w:vAlign w:val="center"/>
          </w:tcPr>
          <w:p w14:paraId="1D31C975" w14:textId="77777777" w:rsidR="00EE205A" w:rsidRPr="00640D01" w:rsidRDefault="00EE205A" w:rsidP="009C54DD">
            <w:pPr>
              <w:pStyle w:val="TableText"/>
              <w:rPr>
                <w:color w:val="7030A0"/>
              </w:rPr>
            </w:pPr>
            <w:r w:rsidRPr="00640D01">
              <w:rPr>
                <w:color w:val="7030A0"/>
              </w:rPr>
              <w:t>X</w:t>
            </w:r>
          </w:p>
        </w:tc>
        <w:tc>
          <w:tcPr>
            <w:tcW w:w="1274" w:type="dxa"/>
            <w:vAlign w:val="center"/>
          </w:tcPr>
          <w:p w14:paraId="1A0A4E52" w14:textId="77777777" w:rsidR="00EE205A" w:rsidRPr="00640D01" w:rsidRDefault="00EE205A" w:rsidP="009C54DD">
            <w:pPr>
              <w:pStyle w:val="TableText"/>
              <w:rPr>
                <w:color w:val="7030A0"/>
              </w:rPr>
            </w:pPr>
            <w:r w:rsidRPr="00640D01">
              <w:rPr>
                <w:color w:val="7030A0"/>
              </w:rPr>
              <w:t>1996</w:t>
            </w:r>
          </w:p>
        </w:tc>
        <w:tc>
          <w:tcPr>
            <w:tcW w:w="1274" w:type="dxa"/>
            <w:vAlign w:val="center"/>
          </w:tcPr>
          <w:p w14:paraId="186B57D7" w14:textId="77777777" w:rsidR="00EE205A" w:rsidRPr="00640D01" w:rsidRDefault="00EE205A" w:rsidP="009C54DD">
            <w:pPr>
              <w:pStyle w:val="TableText"/>
              <w:rPr>
                <w:color w:val="7030A0"/>
              </w:rPr>
            </w:pPr>
            <w:r w:rsidRPr="00640D01">
              <w:rPr>
                <w:color w:val="7030A0"/>
              </w:rPr>
              <w:t>1996</w:t>
            </w:r>
          </w:p>
        </w:tc>
        <w:tc>
          <w:tcPr>
            <w:tcW w:w="1274" w:type="dxa"/>
            <w:tcBorders>
              <w:right w:val="dashed" w:sz="4" w:space="0" w:color="auto"/>
            </w:tcBorders>
            <w:vAlign w:val="center"/>
          </w:tcPr>
          <w:p w14:paraId="6915817C" w14:textId="77777777" w:rsidR="00EE205A" w:rsidRPr="00640D01" w:rsidRDefault="00EE205A" w:rsidP="009C54DD">
            <w:pPr>
              <w:pStyle w:val="TableText"/>
              <w:rPr>
                <w:color w:val="7030A0"/>
              </w:rPr>
            </w:pPr>
            <w:r w:rsidRPr="00640D01">
              <w:rPr>
                <w:color w:val="7030A0"/>
              </w:rPr>
              <w:t>X</w:t>
            </w:r>
          </w:p>
        </w:tc>
        <w:tc>
          <w:tcPr>
            <w:tcW w:w="1275" w:type="dxa"/>
            <w:tcBorders>
              <w:right w:val="single" w:sz="4" w:space="0" w:color="FFFFFF" w:themeColor="background1"/>
            </w:tcBorders>
            <w:vAlign w:val="center"/>
          </w:tcPr>
          <w:p w14:paraId="79155C97" w14:textId="77777777" w:rsidR="00EE205A" w:rsidRPr="00640D01" w:rsidRDefault="00EE205A" w:rsidP="009C54DD">
            <w:pPr>
              <w:pStyle w:val="TableText"/>
              <w:rPr>
                <w:color w:val="7030A0"/>
              </w:rPr>
            </w:pPr>
            <w:r w:rsidRPr="00640D01">
              <w:rPr>
                <w:color w:val="7030A0"/>
              </w:rPr>
              <w:t>X</w:t>
            </w:r>
          </w:p>
        </w:tc>
      </w:tr>
      <w:tr w:rsidR="00EE205A" w:rsidRPr="00640D01" w14:paraId="38B395DD" w14:textId="77777777" w:rsidTr="00514311">
        <w:trPr>
          <w:trHeight w:val="317"/>
        </w:trPr>
        <w:tc>
          <w:tcPr>
            <w:tcW w:w="1705" w:type="dxa"/>
            <w:tcBorders>
              <w:left w:val="single" w:sz="4" w:space="0" w:color="FFFFFF" w:themeColor="background1"/>
            </w:tcBorders>
            <w:vAlign w:val="center"/>
          </w:tcPr>
          <w:p w14:paraId="3D46F6CC" w14:textId="4EC6DBE9" w:rsidR="00EE205A" w:rsidRPr="00640D01" w:rsidRDefault="00EE205A" w:rsidP="009C54DD">
            <w:pPr>
              <w:pStyle w:val="TableText"/>
            </w:pPr>
            <w:r w:rsidRPr="00640D01">
              <w:t xml:space="preserve">End </w:t>
            </w:r>
            <w:r w:rsidR="00D71BDA">
              <w:t>m</w:t>
            </w:r>
            <w:r w:rsidRPr="00640D01">
              <w:t xml:space="preserve">odel </w:t>
            </w:r>
            <w:r w:rsidR="00D71BDA">
              <w:t>y</w:t>
            </w:r>
            <w:r w:rsidRPr="00640D01">
              <w:t>ear</w:t>
            </w:r>
          </w:p>
        </w:tc>
        <w:tc>
          <w:tcPr>
            <w:tcW w:w="1274" w:type="dxa"/>
            <w:vAlign w:val="center"/>
          </w:tcPr>
          <w:p w14:paraId="6676CC1F" w14:textId="77777777" w:rsidR="00EE205A" w:rsidRPr="00640D01" w:rsidRDefault="00EE205A" w:rsidP="009C54DD">
            <w:pPr>
              <w:pStyle w:val="TableText"/>
              <w:rPr>
                <w:color w:val="7030A0"/>
              </w:rPr>
            </w:pPr>
            <w:r w:rsidRPr="00640D01">
              <w:rPr>
                <w:color w:val="7030A0"/>
              </w:rPr>
              <w:t>1995</w:t>
            </w:r>
          </w:p>
        </w:tc>
        <w:tc>
          <w:tcPr>
            <w:tcW w:w="1274" w:type="dxa"/>
            <w:vAlign w:val="center"/>
          </w:tcPr>
          <w:p w14:paraId="76819D32" w14:textId="77777777" w:rsidR="00EE205A" w:rsidRPr="00640D01" w:rsidRDefault="00EE205A" w:rsidP="009C54DD">
            <w:pPr>
              <w:pStyle w:val="TableText"/>
              <w:rPr>
                <w:color w:val="7030A0"/>
              </w:rPr>
            </w:pPr>
            <w:r w:rsidRPr="00640D01">
              <w:rPr>
                <w:color w:val="7030A0"/>
              </w:rPr>
              <w:t>1995</w:t>
            </w:r>
          </w:p>
        </w:tc>
        <w:tc>
          <w:tcPr>
            <w:tcW w:w="1274" w:type="dxa"/>
            <w:vAlign w:val="center"/>
          </w:tcPr>
          <w:p w14:paraId="6578827E" w14:textId="77777777" w:rsidR="00EE205A" w:rsidRPr="00640D01" w:rsidRDefault="00EE205A" w:rsidP="009C54DD">
            <w:pPr>
              <w:pStyle w:val="TableText"/>
              <w:rPr>
                <w:color w:val="7030A0"/>
              </w:rPr>
            </w:pPr>
            <w:r w:rsidRPr="00640D01">
              <w:rPr>
                <w:color w:val="7030A0"/>
              </w:rPr>
              <w:t>Y</w:t>
            </w:r>
          </w:p>
        </w:tc>
        <w:tc>
          <w:tcPr>
            <w:tcW w:w="1274" w:type="dxa"/>
            <w:vAlign w:val="center"/>
          </w:tcPr>
          <w:p w14:paraId="5B331B60" w14:textId="77777777" w:rsidR="00EE205A" w:rsidRPr="00640D01" w:rsidRDefault="00EE205A" w:rsidP="009C54DD">
            <w:pPr>
              <w:pStyle w:val="TableText"/>
              <w:rPr>
                <w:color w:val="7030A0"/>
              </w:rPr>
            </w:pPr>
            <w:r w:rsidRPr="00640D01">
              <w:rPr>
                <w:color w:val="7030A0"/>
              </w:rPr>
              <w:t>Y</w:t>
            </w:r>
          </w:p>
        </w:tc>
        <w:tc>
          <w:tcPr>
            <w:tcW w:w="1274" w:type="dxa"/>
            <w:tcBorders>
              <w:right w:val="dashed" w:sz="4" w:space="0" w:color="auto"/>
            </w:tcBorders>
            <w:vAlign w:val="center"/>
          </w:tcPr>
          <w:p w14:paraId="52AE1887" w14:textId="77777777" w:rsidR="00EE205A" w:rsidRPr="00640D01" w:rsidRDefault="00EE205A" w:rsidP="009C54DD">
            <w:pPr>
              <w:pStyle w:val="TableText"/>
              <w:rPr>
                <w:color w:val="7030A0"/>
              </w:rPr>
            </w:pPr>
            <w:r w:rsidRPr="00640D01">
              <w:rPr>
                <w:color w:val="7030A0"/>
              </w:rPr>
              <w:t>Y</w:t>
            </w:r>
          </w:p>
        </w:tc>
        <w:tc>
          <w:tcPr>
            <w:tcW w:w="1275" w:type="dxa"/>
            <w:tcBorders>
              <w:right w:val="single" w:sz="4" w:space="0" w:color="FFFFFF" w:themeColor="background1"/>
            </w:tcBorders>
            <w:vAlign w:val="center"/>
          </w:tcPr>
          <w:p w14:paraId="7BEFC709" w14:textId="77777777" w:rsidR="00EE205A" w:rsidRPr="00640D01" w:rsidRDefault="00EE205A" w:rsidP="009C54DD">
            <w:pPr>
              <w:pStyle w:val="TableText"/>
              <w:rPr>
                <w:color w:val="7030A0"/>
              </w:rPr>
            </w:pPr>
            <w:r w:rsidRPr="00640D01">
              <w:rPr>
                <w:color w:val="7030A0"/>
              </w:rPr>
              <w:t>Y</w:t>
            </w:r>
          </w:p>
        </w:tc>
      </w:tr>
      <w:tr w:rsidR="00EE205A" w:rsidRPr="00640D01" w14:paraId="0912222D" w14:textId="77777777" w:rsidTr="00514311">
        <w:trPr>
          <w:trHeight w:val="317"/>
        </w:trPr>
        <w:tc>
          <w:tcPr>
            <w:tcW w:w="1705" w:type="dxa"/>
            <w:tcBorders>
              <w:left w:val="single" w:sz="4" w:space="0" w:color="FFFFFF" w:themeColor="background1"/>
            </w:tcBorders>
            <w:vAlign w:val="center"/>
          </w:tcPr>
          <w:p w14:paraId="5C8900D9" w14:textId="20BBD539" w:rsidR="00EE205A" w:rsidRPr="00640D01" w:rsidRDefault="00EE205A" w:rsidP="009C54DD">
            <w:pPr>
              <w:pStyle w:val="TableText"/>
            </w:pPr>
            <w:r w:rsidRPr="00640D01">
              <w:t xml:space="preserve">I/M </w:t>
            </w:r>
            <w:r w:rsidR="00D71BDA">
              <w:t>s</w:t>
            </w:r>
            <w:r w:rsidRPr="00640D01">
              <w:t>ompliance</w:t>
            </w:r>
          </w:p>
        </w:tc>
        <w:tc>
          <w:tcPr>
            <w:tcW w:w="1274" w:type="dxa"/>
            <w:tcBorders>
              <w:right w:val="dashed" w:sz="4" w:space="0" w:color="auto"/>
            </w:tcBorders>
            <w:vAlign w:val="center"/>
          </w:tcPr>
          <w:p w14:paraId="63061BB7" w14:textId="5EFFB25B" w:rsidR="00416094" w:rsidRPr="00640D01" w:rsidRDefault="00EE205A" w:rsidP="009C54DD">
            <w:pPr>
              <w:pStyle w:val="TableText"/>
              <w:rPr>
                <w:color w:val="7030A0"/>
              </w:rPr>
            </w:pPr>
            <w:r w:rsidRPr="00640D01">
              <w:rPr>
                <w:color w:val="7030A0"/>
              </w:rPr>
              <w:t>For 2017:</w:t>
            </w:r>
          </w:p>
          <w:p w14:paraId="0EF25C34" w14:textId="76FCB44A" w:rsidR="00EE205A" w:rsidRPr="00640D01" w:rsidRDefault="00EE205A" w:rsidP="009C54DD">
            <w:pPr>
              <w:pStyle w:val="TableText"/>
              <w:rPr>
                <w:color w:val="7030A0"/>
              </w:rPr>
            </w:pPr>
            <w:r w:rsidRPr="00640D01">
              <w:rPr>
                <w:color w:val="7030A0"/>
              </w:rPr>
              <w:t>21</w:t>
            </w:r>
            <w:r w:rsidR="00517A5D" w:rsidRPr="00640D01">
              <w:rPr>
                <w:color w:val="7030A0"/>
              </w:rPr>
              <w:t>—</w:t>
            </w:r>
            <w:r w:rsidRPr="00640D01">
              <w:rPr>
                <w:color w:val="7030A0"/>
              </w:rPr>
              <w:t>95.20%</w:t>
            </w:r>
          </w:p>
          <w:p w14:paraId="02C7E26E" w14:textId="4CC1CC9B" w:rsidR="00EE205A" w:rsidRPr="00640D01" w:rsidRDefault="00EE205A" w:rsidP="009C54DD">
            <w:pPr>
              <w:pStyle w:val="TableText"/>
              <w:rPr>
                <w:color w:val="7030A0"/>
              </w:rPr>
            </w:pPr>
            <w:r w:rsidRPr="00640D01">
              <w:rPr>
                <w:color w:val="7030A0"/>
              </w:rPr>
              <w:t>31</w:t>
            </w:r>
            <w:r w:rsidR="00517A5D" w:rsidRPr="00640D01">
              <w:rPr>
                <w:color w:val="7030A0"/>
              </w:rPr>
              <w:t>—</w:t>
            </w:r>
            <w:r w:rsidRPr="00640D01">
              <w:rPr>
                <w:color w:val="7030A0"/>
              </w:rPr>
              <w:t>93.30% 32</w:t>
            </w:r>
            <w:r w:rsidR="00517A5D" w:rsidRPr="00640D01">
              <w:rPr>
                <w:color w:val="7030A0"/>
              </w:rPr>
              <w:t>—</w:t>
            </w:r>
            <w:r w:rsidRPr="00640D01">
              <w:rPr>
                <w:color w:val="7030A0"/>
              </w:rPr>
              <w:t>87.58%</w:t>
            </w:r>
          </w:p>
          <w:p w14:paraId="49463787" w14:textId="77777777" w:rsidR="00EE205A" w:rsidRPr="00640D01" w:rsidRDefault="00EE205A" w:rsidP="009C54DD">
            <w:pPr>
              <w:pStyle w:val="TableText"/>
              <w:rPr>
                <w:color w:val="7030A0"/>
              </w:rPr>
            </w:pPr>
          </w:p>
          <w:p w14:paraId="25CD1E46" w14:textId="60EA70F2" w:rsidR="00EE205A" w:rsidRPr="00640D01" w:rsidRDefault="00EE205A" w:rsidP="009C54DD">
            <w:pPr>
              <w:pStyle w:val="TableText"/>
              <w:rPr>
                <w:color w:val="7030A0"/>
              </w:rPr>
            </w:pPr>
            <w:r w:rsidRPr="00640D01">
              <w:rPr>
                <w:color w:val="7030A0"/>
              </w:rPr>
              <w:t>Future year: 21</w:t>
            </w:r>
            <w:r w:rsidR="00517A5D" w:rsidRPr="00640D01">
              <w:rPr>
                <w:color w:val="7030A0"/>
              </w:rPr>
              <w:t>—</w:t>
            </w:r>
            <w:r w:rsidRPr="00640D01">
              <w:rPr>
                <w:color w:val="7030A0"/>
              </w:rPr>
              <w:t>94.50% 31</w:t>
            </w:r>
            <w:r w:rsidR="00517A5D" w:rsidRPr="00640D01">
              <w:rPr>
                <w:color w:val="7030A0"/>
              </w:rPr>
              <w:t>—</w:t>
            </w:r>
            <w:r w:rsidRPr="00640D01">
              <w:rPr>
                <w:color w:val="7030A0"/>
              </w:rPr>
              <w:t>92.61%</w:t>
            </w:r>
          </w:p>
          <w:p w14:paraId="490F20F2" w14:textId="1CFBD985" w:rsidR="00EE205A" w:rsidRPr="00640D01" w:rsidRDefault="00EE205A" w:rsidP="009C54DD">
            <w:pPr>
              <w:pStyle w:val="TableText"/>
              <w:rPr>
                <w:color w:val="7030A0"/>
              </w:rPr>
            </w:pPr>
            <w:r w:rsidRPr="00640D01">
              <w:rPr>
                <w:color w:val="7030A0"/>
              </w:rPr>
              <w:t>32</w:t>
            </w:r>
            <w:r w:rsidR="00517A5D" w:rsidRPr="00640D01">
              <w:rPr>
                <w:color w:val="7030A0"/>
              </w:rPr>
              <w:t>—</w:t>
            </w:r>
            <w:r w:rsidRPr="00640D01">
              <w:rPr>
                <w:color w:val="7030A0"/>
              </w:rPr>
              <w:t>86.94%</w:t>
            </w:r>
          </w:p>
        </w:tc>
        <w:tc>
          <w:tcPr>
            <w:tcW w:w="1274" w:type="dxa"/>
            <w:vAlign w:val="center"/>
          </w:tcPr>
          <w:p w14:paraId="646FC29F" w14:textId="04D4827C" w:rsidR="00EE205A" w:rsidRPr="00640D01" w:rsidRDefault="00EE205A" w:rsidP="009C54DD">
            <w:pPr>
              <w:pStyle w:val="TableText"/>
              <w:rPr>
                <w:color w:val="7030A0"/>
              </w:rPr>
            </w:pPr>
            <w:r w:rsidRPr="00640D01">
              <w:rPr>
                <w:color w:val="7030A0"/>
              </w:rPr>
              <w:t>For 2017: 21</w:t>
            </w:r>
            <w:r w:rsidR="00517A5D" w:rsidRPr="00640D01">
              <w:rPr>
                <w:color w:val="7030A0"/>
              </w:rPr>
              <w:t>—</w:t>
            </w:r>
            <w:r w:rsidRPr="00640D01">
              <w:rPr>
                <w:color w:val="7030A0"/>
              </w:rPr>
              <w:t>95.20%</w:t>
            </w:r>
          </w:p>
          <w:p w14:paraId="2E8A3E61" w14:textId="47B73834" w:rsidR="00EE205A" w:rsidRPr="00640D01" w:rsidRDefault="00EE205A" w:rsidP="009C54DD">
            <w:pPr>
              <w:pStyle w:val="TableText"/>
              <w:rPr>
                <w:color w:val="7030A0"/>
              </w:rPr>
            </w:pPr>
            <w:r w:rsidRPr="00640D01">
              <w:rPr>
                <w:color w:val="7030A0"/>
              </w:rPr>
              <w:t>31</w:t>
            </w:r>
            <w:r w:rsidR="00517A5D" w:rsidRPr="00640D01">
              <w:rPr>
                <w:color w:val="7030A0"/>
              </w:rPr>
              <w:t>—</w:t>
            </w:r>
            <w:r w:rsidRPr="00640D01">
              <w:rPr>
                <w:color w:val="7030A0"/>
              </w:rPr>
              <w:t>93.30% 32</w:t>
            </w:r>
            <w:r w:rsidR="00517A5D" w:rsidRPr="00640D01">
              <w:rPr>
                <w:color w:val="7030A0"/>
              </w:rPr>
              <w:t>—</w:t>
            </w:r>
            <w:r w:rsidRPr="00640D01">
              <w:rPr>
                <w:color w:val="7030A0"/>
              </w:rPr>
              <w:t>87.58%</w:t>
            </w:r>
          </w:p>
          <w:p w14:paraId="0887E94E" w14:textId="77777777" w:rsidR="00EE205A" w:rsidRPr="00640D01" w:rsidRDefault="00EE205A" w:rsidP="009C54DD">
            <w:pPr>
              <w:pStyle w:val="TableText"/>
              <w:rPr>
                <w:color w:val="7030A0"/>
              </w:rPr>
            </w:pPr>
          </w:p>
          <w:p w14:paraId="610E158C" w14:textId="5E7834FD" w:rsidR="00EE205A" w:rsidRPr="00640D01" w:rsidRDefault="00EE205A" w:rsidP="009C54DD">
            <w:pPr>
              <w:pStyle w:val="TableText"/>
              <w:rPr>
                <w:color w:val="7030A0"/>
              </w:rPr>
            </w:pPr>
            <w:r w:rsidRPr="00640D01">
              <w:rPr>
                <w:color w:val="7030A0"/>
              </w:rPr>
              <w:t>Future year: 21</w:t>
            </w:r>
            <w:r w:rsidR="00517A5D" w:rsidRPr="00640D01">
              <w:rPr>
                <w:color w:val="7030A0"/>
              </w:rPr>
              <w:t>—</w:t>
            </w:r>
            <w:r w:rsidRPr="00640D01">
              <w:rPr>
                <w:color w:val="7030A0"/>
              </w:rPr>
              <w:t>94.50% 31</w:t>
            </w:r>
            <w:r w:rsidR="00517A5D" w:rsidRPr="00640D01">
              <w:rPr>
                <w:color w:val="7030A0"/>
              </w:rPr>
              <w:t>—</w:t>
            </w:r>
            <w:r w:rsidRPr="00640D01">
              <w:rPr>
                <w:color w:val="7030A0"/>
              </w:rPr>
              <w:t>92.61%</w:t>
            </w:r>
          </w:p>
          <w:p w14:paraId="745D8F3F" w14:textId="4495C858" w:rsidR="00EE205A" w:rsidRPr="00640D01" w:rsidRDefault="00EE205A" w:rsidP="009C54DD">
            <w:pPr>
              <w:pStyle w:val="TableText"/>
              <w:rPr>
                <w:color w:val="7030A0"/>
              </w:rPr>
            </w:pPr>
            <w:r w:rsidRPr="00640D01">
              <w:rPr>
                <w:color w:val="7030A0"/>
              </w:rPr>
              <w:t>32</w:t>
            </w:r>
            <w:r w:rsidR="00517A5D" w:rsidRPr="00640D01">
              <w:rPr>
                <w:color w:val="7030A0"/>
              </w:rPr>
              <w:t>—</w:t>
            </w:r>
            <w:r w:rsidRPr="00640D01">
              <w:rPr>
                <w:color w:val="7030A0"/>
              </w:rPr>
              <w:t>86.94%</w:t>
            </w:r>
          </w:p>
        </w:tc>
        <w:tc>
          <w:tcPr>
            <w:tcW w:w="1274" w:type="dxa"/>
            <w:vAlign w:val="center"/>
          </w:tcPr>
          <w:p w14:paraId="444D5999" w14:textId="4133AA2A" w:rsidR="00EE205A" w:rsidRPr="00640D01" w:rsidRDefault="00EE205A" w:rsidP="009C54DD">
            <w:pPr>
              <w:pStyle w:val="TableText"/>
              <w:rPr>
                <w:color w:val="7030A0"/>
              </w:rPr>
            </w:pPr>
            <w:r w:rsidRPr="00640D01">
              <w:rPr>
                <w:color w:val="7030A0"/>
              </w:rPr>
              <w:t>For 2017: 21</w:t>
            </w:r>
            <w:r w:rsidR="00517A5D" w:rsidRPr="00640D01">
              <w:rPr>
                <w:color w:val="7030A0"/>
              </w:rPr>
              <w:t>—</w:t>
            </w:r>
            <w:r w:rsidRPr="00640D01">
              <w:rPr>
                <w:color w:val="7030A0"/>
              </w:rPr>
              <w:t>95.20%</w:t>
            </w:r>
          </w:p>
          <w:p w14:paraId="66732A35" w14:textId="7613CA8D" w:rsidR="00EE205A" w:rsidRPr="00640D01" w:rsidRDefault="00EE205A" w:rsidP="009C54DD">
            <w:pPr>
              <w:pStyle w:val="TableText"/>
              <w:rPr>
                <w:color w:val="7030A0"/>
              </w:rPr>
            </w:pPr>
            <w:r w:rsidRPr="00640D01">
              <w:rPr>
                <w:color w:val="7030A0"/>
              </w:rPr>
              <w:t>31</w:t>
            </w:r>
            <w:r w:rsidR="00517A5D" w:rsidRPr="00640D01">
              <w:rPr>
                <w:color w:val="7030A0"/>
              </w:rPr>
              <w:t>—</w:t>
            </w:r>
            <w:r w:rsidRPr="00640D01">
              <w:rPr>
                <w:color w:val="7030A0"/>
              </w:rPr>
              <w:t>93.30% 32</w:t>
            </w:r>
            <w:r w:rsidR="00517A5D" w:rsidRPr="00640D01">
              <w:rPr>
                <w:color w:val="7030A0"/>
              </w:rPr>
              <w:t>—</w:t>
            </w:r>
            <w:r w:rsidRPr="00640D01">
              <w:rPr>
                <w:color w:val="7030A0"/>
              </w:rPr>
              <w:t>87.58%</w:t>
            </w:r>
          </w:p>
          <w:p w14:paraId="6B27151C" w14:textId="77777777" w:rsidR="00EE205A" w:rsidRPr="00640D01" w:rsidRDefault="00EE205A" w:rsidP="009C54DD">
            <w:pPr>
              <w:pStyle w:val="TableText"/>
              <w:rPr>
                <w:color w:val="7030A0"/>
              </w:rPr>
            </w:pPr>
          </w:p>
          <w:p w14:paraId="5561B58D" w14:textId="0D5FD201" w:rsidR="00EE205A" w:rsidRPr="00640D01" w:rsidRDefault="00EE205A" w:rsidP="009C54DD">
            <w:pPr>
              <w:pStyle w:val="TableText"/>
              <w:rPr>
                <w:color w:val="7030A0"/>
              </w:rPr>
            </w:pPr>
            <w:r w:rsidRPr="00640D01">
              <w:rPr>
                <w:color w:val="7030A0"/>
              </w:rPr>
              <w:t>Future year: 21</w:t>
            </w:r>
            <w:r w:rsidR="00517A5D" w:rsidRPr="00640D01">
              <w:rPr>
                <w:color w:val="7030A0"/>
              </w:rPr>
              <w:t>—</w:t>
            </w:r>
            <w:r w:rsidRPr="00640D01">
              <w:rPr>
                <w:color w:val="7030A0"/>
              </w:rPr>
              <w:t>94.50% 31</w:t>
            </w:r>
            <w:r w:rsidR="00517A5D" w:rsidRPr="00640D01">
              <w:rPr>
                <w:color w:val="7030A0"/>
              </w:rPr>
              <w:t>—</w:t>
            </w:r>
            <w:r w:rsidRPr="00640D01">
              <w:rPr>
                <w:color w:val="7030A0"/>
              </w:rPr>
              <w:t>92.61%</w:t>
            </w:r>
          </w:p>
          <w:p w14:paraId="207ECF19" w14:textId="30083706" w:rsidR="00EE205A" w:rsidRPr="00640D01" w:rsidRDefault="00EE205A" w:rsidP="009C54DD">
            <w:pPr>
              <w:pStyle w:val="TableText"/>
              <w:rPr>
                <w:color w:val="7030A0"/>
              </w:rPr>
            </w:pPr>
            <w:r w:rsidRPr="00640D01">
              <w:rPr>
                <w:color w:val="7030A0"/>
              </w:rPr>
              <w:t>32</w:t>
            </w:r>
            <w:r w:rsidR="00517A5D" w:rsidRPr="00640D01">
              <w:rPr>
                <w:color w:val="7030A0"/>
              </w:rPr>
              <w:t>—</w:t>
            </w:r>
            <w:r w:rsidRPr="00640D01">
              <w:rPr>
                <w:color w:val="7030A0"/>
              </w:rPr>
              <w:t>86.94%</w:t>
            </w:r>
          </w:p>
        </w:tc>
        <w:tc>
          <w:tcPr>
            <w:tcW w:w="1274" w:type="dxa"/>
            <w:vAlign w:val="center"/>
          </w:tcPr>
          <w:p w14:paraId="3BDBA2A3" w14:textId="46339FAB" w:rsidR="00EE205A" w:rsidRPr="00640D01" w:rsidRDefault="00EE205A" w:rsidP="009C54DD">
            <w:pPr>
              <w:pStyle w:val="TableText"/>
              <w:rPr>
                <w:color w:val="7030A0"/>
              </w:rPr>
            </w:pPr>
            <w:r w:rsidRPr="00640D01">
              <w:rPr>
                <w:color w:val="7030A0"/>
              </w:rPr>
              <w:t>For 2017: 21</w:t>
            </w:r>
            <w:r w:rsidR="00517A5D" w:rsidRPr="00640D01">
              <w:rPr>
                <w:color w:val="7030A0"/>
              </w:rPr>
              <w:t>—</w:t>
            </w:r>
            <w:r w:rsidRPr="00640D01">
              <w:rPr>
                <w:color w:val="7030A0"/>
              </w:rPr>
              <w:t>95.20%</w:t>
            </w:r>
          </w:p>
          <w:p w14:paraId="73FB15A9" w14:textId="0CDB1AB6" w:rsidR="00EE205A" w:rsidRPr="00640D01" w:rsidRDefault="00EE205A" w:rsidP="009C54DD">
            <w:pPr>
              <w:pStyle w:val="TableText"/>
              <w:rPr>
                <w:color w:val="7030A0"/>
              </w:rPr>
            </w:pPr>
            <w:r w:rsidRPr="00640D01">
              <w:rPr>
                <w:color w:val="7030A0"/>
              </w:rPr>
              <w:t>31</w:t>
            </w:r>
            <w:r w:rsidR="00517A5D" w:rsidRPr="00640D01">
              <w:rPr>
                <w:color w:val="7030A0"/>
              </w:rPr>
              <w:t>—</w:t>
            </w:r>
            <w:r w:rsidRPr="00640D01">
              <w:rPr>
                <w:color w:val="7030A0"/>
              </w:rPr>
              <w:t>93.30% 32</w:t>
            </w:r>
            <w:r w:rsidR="00517A5D" w:rsidRPr="00640D01">
              <w:rPr>
                <w:color w:val="7030A0"/>
              </w:rPr>
              <w:t>—</w:t>
            </w:r>
            <w:r w:rsidRPr="00640D01">
              <w:rPr>
                <w:color w:val="7030A0"/>
              </w:rPr>
              <w:t>87.58%</w:t>
            </w:r>
          </w:p>
          <w:p w14:paraId="027AFB6B" w14:textId="77777777" w:rsidR="00EE205A" w:rsidRPr="00640D01" w:rsidRDefault="00EE205A" w:rsidP="009C54DD">
            <w:pPr>
              <w:pStyle w:val="TableText"/>
              <w:rPr>
                <w:color w:val="7030A0"/>
              </w:rPr>
            </w:pPr>
          </w:p>
          <w:p w14:paraId="430BF7A3" w14:textId="289BEF19" w:rsidR="00EE205A" w:rsidRPr="00640D01" w:rsidRDefault="00EE205A" w:rsidP="009C54DD">
            <w:pPr>
              <w:pStyle w:val="TableText"/>
              <w:rPr>
                <w:color w:val="7030A0"/>
              </w:rPr>
            </w:pPr>
            <w:r w:rsidRPr="00640D01">
              <w:rPr>
                <w:color w:val="7030A0"/>
              </w:rPr>
              <w:t>Future year: 21</w:t>
            </w:r>
            <w:r w:rsidR="00517A5D" w:rsidRPr="00640D01">
              <w:rPr>
                <w:color w:val="7030A0"/>
              </w:rPr>
              <w:t>—</w:t>
            </w:r>
            <w:r w:rsidRPr="00640D01">
              <w:rPr>
                <w:color w:val="7030A0"/>
              </w:rPr>
              <w:t>94.50% 31</w:t>
            </w:r>
            <w:r w:rsidR="00517A5D" w:rsidRPr="00640D01">
              <w:rPr>
                <w:color w:val="7030A0"/>
              </w:rPr>
              <w:t>—</w:t>
            </w:r>
            <w:r w:rsidRPr="00640D01">
              <w:rPr>
                <w:color w:val="7030A0"/>
              </w:rPr>
              <w:t>92.61%</w:t>
            </w:r>
          </w:p>
          <w:p w14:paraId="3D27F1CC" w14:textId="01305FC9" w:rsidR="00EE205A" w:rsidRPr="00640D01" w:rsidRDefault="00EE205A" w:rsidP="009C54DD">
            <w:pPr>
              <w:pStyle w:val="TableText"/>
              <w:rPr>
                <w:color w:val="7030A0"/>
              </w:rPr>
            </w:pPr>
            <w:r w:rsidRPr="00640D01">
              <w:rPr>
                <w:color w:val="7030A0"/>
              </w:rPr>
              <w:t>32</w:t>
            </w:r>
            <w:r w:rsidR="00517A5D" w:rsidRPr="00640D01">
              <w:rPr>
                <w:color w:val="7030A0"/>
              </w:rPr>
              <w:t>—</w:t>
            </w:r>
            <w:r w:rsidRPr="00640D01">
              <w:rPr>
                <w:color w:val="7030A0"/>
              </w:rPr>
              <w:t>86.94%</w:t>
            </w:r>
          </w:p>
        </w:tc>
        <w:tc>
          <w:tcPr>
            <w:tcW w:w="1274" w:type="dxa"/>
            <w:tcBorders>
              <w:right w:val="dashed" w:sz="4" w:space="0" w:color="auto"/>
            </w:tcBorders>
            <w:vAlign w:val="center"/>
          </w:tcPr>
          <w:p w14:paraId="4073F7D3" w14:textId="37D7635C" w:rsidR="00EE205A" w:rsidRPr="00640D01" w:rsidRDefault="00EE205A" w:rsidP="009C54DD">
            <w:pPr>
              <w:pStyle w:val="TableText"/>
              <w:rPr>
                <w:color w:val="7030A0"/>
              </w:rPr>
            </w:pPr>
            <w:r w:rsidRPr="00640D01">
              <w:rPr>
                <w:color w:val="7030A0"/>
              </w:rPr>
              <w:t>For 2017: 21</w:t>
            </w:r>
            <w:r w:rsidR="00517A5D" w:rsidRPr="00640D01">
              <w:rPr>
                <w:color w:val="7030A0"/>
              </w:rPr>
              <w:t>—</w:t>
            </w:r>
            <w:r w:rsidRPr="00640D01">
              <w:rPr>
                <w:color w:val="7030A0"/>
              </w:rPr>
              <w:t>95.20%</w:t>
            </w:r>
          </w:p>
          <w:p w14:paraId="3BF735E4" w14:textId="1DA901D4" w:rsidR="00EE205A" w:rsidRPr="00640D01" w:rsidRDefault="00EE205A" w:rsidP="009C54DD">
            <w:pPr>
              <w:pStyle w:val="TableText"/>
              <w:rPr>
                <w:color w:val="7030A0"/>
              </w:rPr>
            </w:pPr>
            <w:r w:rsidRPr="00640D01">
              <w:rPr>
                <w:color w:val="7030A0"/>
              </w:rPr>
              <w:t>31</w:t>
            </w:r>
            <w:r w:rsidR="00517A5D" w:rsidRPr="00640D01">
              <w:rPr>
                <w:color w:val="7030A0"/>
              </w:rPr>
              <w:t>—</w:t>
            </w:r>
            <w:r w:rsidRPr="00640D01">
              <w:rPr>
                <w:color w:val="7030A0"/>
              </w:rPr>
              <w:t>93.30% 32</w:t>
            </w:r>
            <w:r w:rsidR="00517A5D" w:rsidRPr="00640D01">
              <w:rPr>
                <w:color w:val="7030A0"/>
              </w:rPr>
              <w:t>—</w:t>
            </w:r>
            <w:r w:rsidRPr="00640D01">
              <w:rPr>
                <w:color w:val="7030A0"/>
              </w:rPr>
              <w:t>87.58%</w:t>
            </w:r>
          </w:p>
          <w:p w14:paraId="15DB364F" w14:textId="77777777" w:rsidR="00EE205A" w:rsidRPr="00640D01" w:rsidRDefault="00EE205A" w:rsidP="009C54DD">
            <w:pPr>
              <w:pStyle w:val="TableText"/>
              <w:rPr>
                <w:color w:val="7030A0"/>
              </w:rPr>
            </w:pPr>
          </w:p>
          <w:p w14:paraId="15BF3D4F" w14:textId="643820EA" w:rsidR="00EE205A" w:rsidRPr="00640D01" w:rsidRDefault="00EE205A" w:rsidP="009C54DD">
            <w:pPr>
              <w:pStyle w:val="TableText"/>
              <w:rPr>
                <w:color w:val="7030A0"/>
              </w:rPr>
            </w:pPr>
            <w:r w:rsidRPr="00640D01">
              <w:rPr>
                <w:color w:val="7030A0"/>
              </w:rPr>
              <w:t>Future year: 21</w:t>
            </w:r>
            <w:r w:rsidR="00517A5D" w:rsidRPr="00640D01">
              <w:rPr>
                <w:color w:val="7030A0"/>
              </w:rPr>
              <w:t>—</w:t>
            </w:r>
            <w:r w:rsidRPr="00640D01">
              <w:rPr>
                <w:color w:val="7030A0"/>
              </w:rPr>
              <w:t>94.50% 31</w:t>
            </w:r>
            <w:r w:rsidR="00517A5D" w:rsidRPr="00640D01">
              <w:rPr>
                <w:color w:val="7030A0"/>
              </w:rPr>
              <w:t>—</w:t>
            </w:r>
            <w:r w:rsidRPr="00640D01">
              <w:rPr>
                <w:color w:val="7030A0"/>
              </w:rPr>
              <w:t>92.61%</w:t>
            </w:r>
          </w:p>
          <w:p w14:paraId="649FB38C" w14:textId="5853A85E" w:rsidR="00EE205A" w:rsidRPr="00640D01" w:rsidRDefault="00EE205A" w:rsidP="009C54DD">
            <w:pPr>
              <w:pStyle w:val="TableText"/>
              <w:rPr>
                <w:color w:val="7030A0"/>
              </w:rPr>
            </w:pPr>
            <w:r w:rsidRPr="00640D01">
              <w:rPr>
                <w:color w:val="7030A0"/>
              </w:rPr>
              <w:t>32</w:t>
            </w:r>
            <w:r w:rsidR="00517A5D" w:rsidRPr="00640D01">
              <w:rPr>
                <w:color w:val="7030A0"/>
              </w:rPr>
              <w:t>—</w:t>
            </w:r>
            <w:r w:rsidRPr="00640D01">
              <w:rPr>
                <w:color w:val="7030A0"/>
              </w:rPr>
              <w:t>86.94%</w:t>
            </w:r>
          </w:p>
        </w:tc>
        <w:tc>
          <w:tcPr>
            <w:tcW w:w="1275" w:type="dxa"/>
            <w:tcBorders>
              <w:right w:val="single" w:sz="4" w:space="0" w:color="FFFFFF" w:themeColor="background1"/>
            </w:tcBorders>
            <w:vAlign w:val="center"/>
          </w:tcPr>
          <w:p w14:paraId="5DB7F65F" w14:textId="1C6F058D" w:rsidR="00EE205A" w:rsidRPr="00640D01" w:rsidRDefault="00EE205A" w:rsidP="009C54DD">
            <w:pPr>
              <w:pStyle w:val="TableText"/>
              <w:rPr>
                <w:color w:val="7030A0"/>
              </w:rPr>
            </w:pPr>
            <w:r w:rsidRPr="00640D01">
              <w:rPr>
                <w:color w:val="7030A0"/>
              </w:rPr>
              <w:t>For 2017: 21</w:t>
            </w:r>
            <w:r w:rsidR="00517A5D" w:rsidRPr="00640D01">
              <w:rPr>
                <w:color w:val="7030A0"/>
              </w:rPr>
              <w:t>—</w:t>
            </w:r>
            <w:r w:rsidRPr="00640D01">
              <w:rPr>
                <w:color w:val="7030A0"/>
              </w:rPr>
              <w:t>95.20%</w:t>
            </w:r>
          </w:p>
          <w:p w14:paraId="757385A8" w14:textId="0496E9BB" w:rsidR="00EE205A" w:rsidRPr="00640D01" w:rsidRDefault="00EE205A" w:rsidP="009C54DD">
            <w:pPr>
              <w:pStyle w:val="TableText"/>
              <w:rPr>
                <w:color w:val="7030A0"/>
              </w:rPr>
            </w:pPr>
            <w:r w:rsidRPr="00640D01">
              <w:rPr>
                <w:color w:val="7030A0"/>
              </w:rPr>
              <w:t>31</w:t>
            </w:r>
            <w:r w:rsidR="00517A5D" w:rsidRPr="00640D01">
              <w:rPr>
                <w:color w:val="7030A0"/>
              </w:rPr>
              <w:t>—</w:t>
            </w:r>
            <w:r w:rsidRPr="00640D01">
              <w:rPr>
                <w:color w:val="7030A0"/>
              </w:rPr>
              <w:t>93.30% 32</w:t>
            </w:r>
            <w:r w:rsidR="00517A5D" w:rsidRPr="00640D01">
              <w:rPr>
                <w:color w:val="7030A0"/>
              </w:rPr>
              <w:t>—</w:t>
            </w:r>
            <w:r w:rsidRPr="00640D01">
              <w:rPr>
                <w:color w:val="7030A0"/>
              </w:rPr>
              <w:t>87.58%</w:t>
            </w:r>
          </w:p>
          <w:p w14:paraId="6BDB747E" w14:textId="77777777" w:rsidR="00EE205A" w:rsidRPr="00640D01" w:rsidRDefault="00EE205A" w:rsidP="009C54DD">
            <w:pPr>
              <w:pStyle w:val="TableText"/>
              <w:rPr>
                <w:color w:val="7030A0"/>
              </w:rPr>
            </w:pPr>
          </w:p>
          <w:p w14:paraId="5D10E65B" w14:textId="628BD509" w:rsidR="00EE205A" w:rsidRPr="00640D01" w:rsidRDefault="00EE205A" w:rsidP="009C54DD">
            <w:pPr>
              <w:pStyle w:val="TableText"/>
              <w:rPr>
                <w:color w:val="7030A0"/>
              </w:rPr>
            </w:pPr>
            <w:r w:rsidRPr="00640D01">
              <w:rPr>
                <w:color w:val="7030A0"/>
              </w:rPr>
              <w:t>Future year: 21</w:t>
            </w:r>
            <w:r w:rsidR="00517A5D" w:rsidRPr="00640D01">
              <w:rPr>
                <w:color w:val="7030A0"/>
              </w:rPr>
              <w:t>—</w:t>
            </w:r>
            <w:r w:rsidRPr="00640D01">
              <w:rPr>
                <w:color w:val="7030A0"/>
              </w:rPr>
              <w:t>94.50% 31</w:t>
            </w:r>
            <w:r w:rsidR="00517A5D" w:rsidRPr="00640D01">
              <w:rPr>
                <w:color w:val="7030A0"/>
              </w:rPr>
              <w:t>—</w:t>
            </w:r>
            <w:r w:rsidRPr="00640D01">
              <w:rPr>
                <w:color w:val="7030A0"/>
              </w:rPr>
              <w:t>92.61%</w:t>
            </w:r>
          </w:p>
          <w:p w14:paraId="6C621024" w14:textId="2978A44B" w:rsidR="00EE205A" w:rsidRPr="00640D01" w:rsidRDefault="00EE205A" w:rsidP="009C54DD">
            <w:pPr>
              <w:pStyle w:val="TableText"/>
              <w:rPr>
                <w:color w:val="7030A0"/>
              </w:rPr>
            </w:pPr>
            <w:r w:rsidRPr="00640D01">
              <w:rPr>
                <w:color w:val="7030A0"/>
              </w:rPr>
              <w:t>32</w:t>
            </w:r>
            <w:r w:rsidR="00517A5D" w:rsidRPr="00640D01">
              <w:rPr>
                <w:color w:val="7030A0"/>
              </w:rPr>
              <w:t>—</w:t>
            </w:r>
            <w:r w:rsidRPr="00640D01">
              <w:rPr>
                <w:color w:val="7030A0"/>
              </w:rPr>
              <w:t>86.94%</w:t>
            </w:r>
          </w:p>
        </w:tc>
      </w:tr>
    </w:tbl>
    <w:p w14:paraId="17B5DDCF" w14:textId="04B5ABF3" w:rsidR="00EE205A" w:rsidRPr="00640D01" w:rsidRDefault="007F5180" w:rsidP="00176A31">
      <w:pPr>
        <w:pStyle w:val="TableNote"/>
        <w:ind w:left="180" w:hanging="180"/>
      </w:pPr>
      <w:r w:rsidRPr="00640D01">
        <w:t>*</w:t>
      </w:r>
      <w:r w:rsidR="00517A5D" w:rsidRPr="00640D01">
        <w:tab/>
      </w:r>
      <w:r w:rsidR="00EE205A" w:rsidRPr="00640D01">
        <w:t xml:space="preserve">Source </w:t>
      </w:r>
      <w:r w:rsidRPr="00640D01">
        <w:t>U</w:t>
      </w:r>
      <w:r w:rsidR="00EE205A" w:rsidRPr="00640D01">
        <w:t xml:space="preserve">se </w:t>
      </w:r>
      <w:r w:rsidRPr="00640D01">
        <w:t>T</w:t>
      </w:r>
      <w:r w:rsidR="00EE205A" w:rsidRPr="00640D01">
        <w:t>ype: 21</w:t>
      </w:r>
      <w:r w:rsidR="00517A5D" w:rsidRPr="00640D01">
        <w:t>—passenger car</w:t>
      </w:r>
      <w:r w:rsidR="00EE205A" w:rsidRPr="00640D01">
        <w:t>, 31</w:t>
      </w:r>
      <w:r w:rsidR="00517A5D" w:rsidRPr="00640D01">
        <w:t>—passenger truck</w:t>
      </w:r>
      <w:r w:rsidR="00EE205A" w:rsidRPr="00640D01">
        <w:t>, 32</w:t>
      </w:r>
      <w:r w:rsidR="00517A5D" w:rsidRPr="00640D01">
        <w:t>—light commercial truck.</w:t>
      </w:r>
    </w:p>
    <w:p w14:paraId="174C8A49" w14:textId="7D7D96CF" w:rsidR="00517A5D" w:rsidRPr="00640D01" w:rsidRDefault="00517A5D" w:rsidP="00B95FFB">
      <w:pPr>
        <w:pStyle w:val="TableNote"/>
      </w:pPr>
      <w:r w:rsidRPr="00640D01">
        <w:t>N/A denotes not applicable.</w:t>
      </w:r>
    </w:p>
    <w:p w14:paraId="3E7CA24D" w14:textId="32E1FA84" w:rsidR="00EE205A" w:rsidRPr="00640D01" w:rsidRDefault="00EE205A" w:rsidP="00B95FFB">
      <w:pPr>
        <w:pStyle w:val="TableCaption"/>
        <w:rPr>
          <w:i/>
        </w:rPr>
      </w:pPr>
      <w:bookmarkStart w:id="115" w:name="_Toc141792905"/>
      <w:bookmarkStart w:id="116" w:name="_Toc190183129"/>
      <w:r w:rsidRPr="00640D01">
        <w:t xml:space="preserve">Table </w:t>
      </w:r>
      <w:r w:rsidR="00514311">
        <w:fldChar w:fldCharType="begin"/>
      </w:r>
      <w:r w:rsidR="00514311">
        <w:instrText xml:space="preserve"> STYLEREF 1 \s </w:instrText>
      </w:r>
      <w:r w:rsidR="00514311">
        <w:fldChar w:fldCharType="separate"/>
      </w:r>
      <w:r w:rsidR="00514311">
        <w:rPr>
          <w:noProof/>
        </w:rPr>
        <w:t>5</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7</w:t>
      </w:r>
      <w:r w:rsidR="00514311">
        <w:fldChar w:fldCharType="end"/>
      </w:r>
      <w:r w:rsidRPr="00640D01">
        <w:t>. MOVES Emissions Factor Post-</w:t>
      </w:r>
      <w:r w:rsidR="008753A7" w:rsidRPr="00640D01">
        <w:t xml:space="preserve">processing </w:t>
      </w:r>
      <w:r w:rsidRPr="00640D01">
        <w:t xml:space="preserve">to </w:t>
      </w:r>
      <w:r w:rsidR="008753A7" w:rsidRPr="00640D01">
        <w:t>B</w:t>
      </w:r>
      <w:r w:rsidRPr="00640D01">
        <w:t>e Performed by County and Year</w:t>
      </w:r>
      <w:bookmarkEnd w:id="115"/>
      <w:bookmarkEnd w:id="116"/>
    </w:p>
    <w:tbl>
      <w:tblPr>
        <w:tblStyle w:val="TTITable"/>
        <w:tblW w:w="0" w:type="auto"/>
        <w:tblLook w:val="04A0" w:firstRow="1" w:lastRow="0" w:firstColumn="1" w:lastColumn="0" w:noHBand="0" w:noVBand="1"/>
      </w:tblPr>
      <w:tblGrid>
        <w:gridCol w:w="3289"/>
        <w:gridCol w:w="1638"/>
        <w:gridCol w:w="972"/>
      </w:tblGrid>
      <w:tr w:rsidR="005D2E1F" w:rsidRPr="00514311" w14:paraId="1E4284EC" w14:textId="77777777" w:rsidTr="00514311">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shd w:val="clear" w:color="auto" w:fill="002060"/>
          </w:tcPr>
          <w:p w14:paraId="4E6B3F62" w14:textId="77777777" w:rsidR="00EE205A" w:rsidRPr="00514311" w:rsidRDefault="00EE205A" w:rsidP="00514311">
            <w:pPr>
              <w:pStyle w:val="TableHeader"/>
              <w:keepNext w:val="0"/>
              <w:rPr>
                <w:b/>
                <w:bCs/>
              </w:rPr>
            </w:pPr>
            <w:r w:rsidRPr="00514311">
              <w:rPr>
                <w:b/>
                <w:bCs/>
              </w:rPr>
              <w:t>Strategy and Post-processing Result</w:t>
            </w:r>
          </w:p>
        </w:tc>
        <w:tc>
          <w:tcPr>
            <w:tcW w:w="0" w:type="auto"/>
            <w:shd w:val="clear" w:color="auto" w:fill="002060"/>
          </w:tcPr>
          <w:p w14:paraId="036B8386" w14:textId="77777777" w:rsidR="00EE205A" w:rsidRPr="00514311" w:rsidRDefault="00EE205A" w:rsidP="00514311">
            <w:pPr>
              <w:pStyle w:val="TableHeader"/>
              <w:keepNext w:val="0"/>
              <w:cnfStyle w:val="100000000000" w:firstRow="1" w:lastRow="0" w:firstColumn="0" w:lastColumn="0" w:oddVBand="0" w:evenVBand="0" w:oddHBand="0" w:evenHBand="0" w:firstRowFirstColumn="0" w:firstRowLastColumn="0" w:lastRowFirstColumn="0" w:lastRowLastColumn="0"/>
              <w:rPr>
                <w:b/>
                <w:bCs/>
              </w:rPr>
            </w:pPr>
            <w:r w:rsidRPr="00514311">
              <w:rPr>
                <w:b/>
                <w:bCs/>
              </w:rPr>
              <w:t>Analysis Year</w:t>
            </w:r>
          </w:p>
        </w:tc>
        <w:tc>
          <w:tcPr>
            <w:tcW w:w="0" w:type="auto"/>
            <w:shd w:val="clear" w:color="auto" w:fill="002060"/>
          </w:tcPr>
          <w:p w14:paraId="4EA154E4" w14:textId="77777777" w:rsidR="00EE205A" w:rsidRPr="00514311" w:rsidRDefault="00EE205A" w:rsidP="00514311">
            <w:pPr>
              <w:pStyle w:val="TableHeader"/>
              <w:keepNext w:val="0"/>
              <w:cnfStyle w:val="100000000000" w:firstRow="1" w:lastRow="0" w:firstColumn="0" w:lastColumn="0" w:oddVBand="0" w:evenVBand="0" w:oddHBand="0" w:evenHBand="0" w:firstRowFirstColumn="0" w:firstRowLastColumn="0" w:lastRowFirstColumn="0" w:lastRowLastColumn="0"/>
              <w:rPr>
                <w:b/>
                <w:bCs/>
              </w:rPr>
            </w:pPr>
            <w:r w:rsidRPr="00514311">
              <w:rPr>
                <w:b/>
                <w:bCs/>
              </w:rPr>
              <w:t>Counties</w:t>
            </w:r>
          </w:p>
        </w:tc>
      </w:tr>
      <w:tr w:rsidR="00EE205A" w:rsidRPr="00640D01" w14:paraId="411B7ECD"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0" w:type="auto"/>
          </w:tcPr>
          <w:p w14:paraId="78F22042" w14:textId="06D74E94" w:rsidR="00EE205A" w:rsidRPr="00640D01" w:rsidRDefault="00D71BDA" w:rsidP="00514311">
            <w:pPr>
              <w:pStyle w:val="TableText"/>
              <w:keepNext w:val="0"/>
            </w:pPr>
            <w:r>
              <w:t>Texas Low Emission Diesel (</w:t>
            </w:r>
            <w:r w:rsidR="003C0BAB" w:rsidRPr="00640D01">
              <w:t>TxLED</w:t>
            </w:r>
            <w:r>
              <w:t>)</w:t>
            </w:r>
          </w:p>
        </w:tc>
        <w:tc>
          <w:tcPr>
            <w:tcW w:w="0" w:type="auto"/>
          </w:tcPr>
          <w:p w14:paraId="7BCC6B99" w14:textId="290CB596" w:rsidR="00EE205A" w:rsidRPr="00640D01" w:rsidRDefault="00EE205A" w:rsidP="00514311">
            <w:pPr>
              <w:pStyle w:val="TableText"/>
              <w:keepNext w:val="0"/>
              <w:cnfStyle w:val="000000000000" w:firstRow="0" w:lastRow="0" w:firstColumn="0" w:lastColumn="0" w:oddVBand="0" w:evenVBand="0" w:oddHBand="0" w:evenHBand="0" w:firstRowFirstColumn="0" w:firstRowLastColumn="0" w:lastRowFirstColumn="0" w:lastRowLastColumn="0"/>
              <w:rPr>
                <w:color w:val="7030A0"/>
              </w:rPr>
            </w:pPr>
            <w:r w:rsidRPr="00640D01">
              <w:rPr>
                <w:color w:val="7030A0"/>
              </w:rPr>
              <w:t xml:space="preserve">All </w:t>
            </w:r>
            <w:r w:rsidR="003D714A" w:rsidRPr="00640D01">
              <w:rPr>
                <w:color w:val="7030A0"/>
              </w:rPr>
              <w:t xml:space="preserve">analysis </w:t>
            </w:r>
            <w:r w:rsidRPr="00640D01">
              <w:rPr>
                <w:color w:val="7030A0"/>
              </w:rPr>
              <w:t>years</w:t>
            </w:r>
          </w:p>
        </w:tc>
        <w:tc>
          <w:tcPr>
            <w:tcW w:w="0" w:type="auto"/>
          </w:tcPr>
          <w:p w14:paraId="6C48D4E0" w14:textId="77777777" w:rsidR="00EE205A" w:rsidRPr="00640D01" w:rsidRDefault="00EE205A" w:rsidP="00514311">
            <w:pPr>
              <w:pStyle w:val="TableText"/>
              <w:keepNext w:val="0"/>
              <w:cnfStyle w:val="000000000000" w:firstRow="0" w:lastRow="0" w:firstColumn="0" w:lastColumn="0" w:oddVBand="0" w:evenVBand="0" w:oddHBand="0" w:evenHBand="0" w:firstRowFirstColumn="0" w:firstRowLastColumn="0" w:lastRowFirstColumn="0" w:lastRowLastColumn="0"/>
              <w:rPr>
                <w:color w:val="7030A0"/>
              </w:rPr>
            </w:pPr>
            <w:r w:rsidRPr="00640D01">
              <w:rPr>
                <w:color w:val="7030A0"/>
              </w:rPr>
              <w:t>N/A</w:t>
            </w:r>
          </w:p>
        </w:tc>
      </w:tr>
    </w:tbl>
    <w:p w14:paraId="5BBC632F" w14:textId="49D01626" w:rsidR="00EE205A" w:rsidRPr="00640D01" w:rsidRDefault="00EE205A" w:rsidP="00B95FFB">
      <w:pPr>
        <w:pStyle w:val="TableCaption"/>
      </w:pPr>
      <w:bookmarkStart w:id="117" w:name="_Ref152856240"/>
      <w:bookmarkStart w:id="118" w:name="_Ref182303132"/>
      <w:bookmarkStart w:id="119" w:name="_Toc141792906"/>
      <w:bookmarkStart w:id="120" w:name="_Toc190183130"/>
      <w:r w:rsidRPr="00640D01">
        <w:lastRenderedPageBreak/>
        <w:t xml:space="preserve">Table </w:t>
      </w:r>
      <w:r w:rsidR="00514311">
        <w:fldChar w:fldCharType="begin"/>
      </w:r>
      <w:r w:rsidR="00514311">
        <w:instrText xml:space="preserve"> STYLEREF 1 \s </w:instrText>
      </w:r>
      <w:r w:rsidR="00514311">
        <w:fldChar w:fldCharType="separate"/>
      </w:r>
      <w:r w:rsidR="00514311">
        <w:rPr>
          <w:noProof/>
        </w:rPr>
        <w:t>5</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8</w:t>
      </w:r>
      <w:r w:rsidR="00514311">
        <w:fldChar w:fldCharType="end"/>
      </w:r>
      <w:bookmarkEnd w:id="117"/>
      <w:bookmarkEnd w:id="118"/>
      <w:r w:rsidRPr="00640D01">
        <w:t>. Emission Controls Used for Conformity Credit</w:t>
      </w:r>
      <w:bookmarkEnd w:id="119"/>
      <w:bookmarkEnd w:id="120"/>
    </w:p>
    <w:tbl>
      <w:tblPr>
        <w:tblStyle w:val="TTITable"/>
        <w:tblW w:w="0" w:type="auto"/>
        <w:tblLook w:val="04A0" w:firstRow="1" w:lastRow="0" w:firstColumn="1" w:lastColumn="0" w:noHBand="0" w:noVBand="1"/>
      </w:tblPr>
      <w:tblGrid>
        <w:gridCol w:w="4135"/>
        <w:gridCol w:w="2607"/>
        <w:gridCol w:w="2608"/>
      </w:tblGrid>
      <w:tr w:rsidR="005D2E1F" w:rsidRPr="00514311" w14:paraId="36B2F7A7" w14:textId="77777777" w:rsidTr="00514311">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135" w:type="dxa"/>
            <w:shd w:val="clear" w:color="auto" w:fill="002060"/>
          </w:tcPr>
          <w:p w14:paraId="6535F3BD" w14:textId="77777777" w:rsidR="00EE205A" w:rsidRPr="00514311" w:rsidRDefault="00EE205A" w:rsidP="00176A31">
            <w:pPr>
              <w:pStyle w:val="TableHeader"/>
              <w:rPr>
                <w:b/>
                <w:bCs/>
              </w:rPr>
            </w:pPr>
            <w:r w:rsidRPr="00514311">
              <w:rPr>
                <w:b/>
                <w:bCs/>
              </w:rPr>
              <w:t>Emission Reduction Strategy and Years Covered</w:t>
            </w:r>
          </w:p>
        </w:tc>
        <w:tc>
          <w:tcPr>
            <w:tcW w:w="2607" w:type="dxa"/>
            <w:shd w:val="clear" w:color="auto" w:fill="002060"/>
          </w:tcPr>
          <w:p w14:paraId="61D4888D" w14:textId="02B60B19" w:rsidR="00EE205A" w:rsidRPr="00514311" w:rsidRDefault="00EE205A" w:rsidP="00176A31">
            <w:pPr>
              <w:pStyle w:val="TableHeader"/>
              <w:cnfStyle w:val="100000000000" w:firstRow="1" w:lastRow="0" w:firstColumn="0" w:lastColumn="0" w:oddVBand="0" w:evenVBand="0" w:oddHBand="0" w:evenHBand="0" w:firstRowFirstColumn="0" w:firstRowLastColumn="0" w:lastRowFirstColumn="0" w:lastRowLastColumn="0"/>
              <w:rPr>
                <w:b/>
                <w:bCs/>
              </w:rPr>
            </w:pPr>
            <w:r w:rsidRPr="00514311">
              <w:rPr>
                <w:b/>
                <w:bCs/>
              </w:rPr>
              <w:t>Modeling or Post-</w:t>
            </w:r>
            <w:r w:rsidR="00517A5D" w:rsidRPr="00514311">
              <w:rPr>
                <w:b/>
                <w:bCs/>
              </w:rPr>
              <w:t xml:space="preserve">processing </w:t>
            </w:r>
            <w:r w:rsidRPr="00514311">
              <w:rPr>
                <w:b/>
                <w:bCs/>
              </w:rPr>
              <w:t>Approach</w:t>
            </w:r>
          </w:p>
        </w:tc>
        <w:tc>
          <w:tcPr>
            <w:tcW w:w="2608" w:type="dxa"/>
            <w:shd w:val="clear" w:color="auto" w:fill="002060"/>
          </w:tcPr>
          <w:p w14:paraId="318782D5" w14:textId="77777777" w:rsidR="00EE205A" w:rsidRPr="00514311" w:rsidRDefault="00EE205A" w:rsidP="00176A31">
            <w:pPr>
              <w:pStyle w:val="TableHeader"/>
              <w:cnfStyle w:val="100000000000" w:firstRow="1" w:lastRow="0" w:firstColumn="0" w:lastColumn="0" w:oddVBand="0" w:evenVBand="0" w:oddHBand="0" w:evenHBand="0" w:firstRowFirstColumn="0" w:firstRowLastColumn="0" w:lastRowFirstColumn="0" w:lastRowLastColumn="0"/>
              <w:rPr>
                <w:b/>
                <w:bCs/>
              </w:rPr>
            </w:pPr>
            <w:r w:rsidRPr="00514311">
              <w:rPr>
                <w:b/>
                <w:bCs/>
              </w:rPr>
              <w:t>Analysis Year</w:t>
            </w:r>
          </w:p>
        </w:tc>
      </w:tr>
      <w:tr w:rsidR="00EE205A" w:rsidRPr="00640D01" w14:paraId="72B13B38"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135" w:type="dxa"/>
          </w:tcPr>
          <w:p w14:paraId="0AD38615" w14:textId="08CB873B" w:rsidR="00EE205A" w:rsidRPr="00514311" w:rsidRDefault="00517A5D" w:rsidP="00176A31">
            <w:pPr>
              <w:pStyle w:val="TableText"/>
              <w:rPr>
                <w:color w:val="7030A0"/>
              </w:rPr>
            </w:pPr>
            <w:r w:rsidRPr="00514311">
              <w:rPr>
                <w:color w:val="7030A0"/>
              </w:rPr>
              <w:t>Intersection improvements</w:t>
            </w:r>
          </w:p>
        </w:tc>
        <w:tc>
          <w:tcPr>
            <w:tcW w:w="2607" w:type="dxa"/>
          </w:tcPr>
          <w:p w14:paraId="6FCB80E2" w14:textId="5D7D8BDC"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7030A0"/>
              </w:rPr>
            </w:pPr>
          </w:p>
        </w:tc>
        <w:tc>
          <w:tcPr>
            <w:tcW w:w="2608" w:type="dxa"/>
          </w:tcPr>
          <w:p w14:paraId="6D1C5336" w14:textId="39531C51"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7030A0"/>
              </w:rPr>
            </w:pPr>
          </w:p>
        </w:tc>
      </w:tr>
      <w:tr w:rsidR="00EE205A" w:rsidRPr="00640D01" w14:paraId="39F96E87"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135" w:type="dxa"/>
          </w:tcPr>
          <w:p w14:paraId="1439D63F" w14:textId="09DCA777" w:rsidR="00EE205A" w:rsidRPr="00514311" w:rsidRDefault="00517A5D" w:rsidP="00176A31">
            <w:pPr>
              <w:pStyle w:val="TableText"/>
              <w:rPr>
                <w:color w:val="7030A0"/>
              </w:rPr>
            </w:pPr>
            <w:r w:rsidRPr="00514311">
              <w:rPr>
                <w:color w:val="7030A0"/>
              </w:rPr>
              <w:t>Transit service</w:t>
            </w:r>
          </w:p>
        </w:tc>
        <w:tc>
          <w:tcPr>
            <w:tcW w:w="2607" w:type="dxa"/>
          </w:tcPr>
          <w:p w14:paraId="09DCEEF4" w14:textId="46A28337"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7030A0"/>
              </w:rPr>
            </w:pPr>
          </w:p>
        </w:tc>
        <w:tc>
          <w:tcPr>
            <w:tcW w:w="2608" w:type="dxa"/>
          </w:tcPr>
          <w:p w14:paraId="7BC7C5BA" w14:textId="25385079"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7030A0"/>
              </w:rPr>
            </w:pPr>
          </w:p>
        </w:tc>
      </w:tr>
      <w:tr w:rsidR="00EE205A" w:rsidRPr="00640D01" w14:paraId="198C1D7B"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135" w:type="dxa"/>
          </w:tcPr>
          <w:p w14:paraId="3111F18F" w14:textId="1CD47E13" w:rsidR="00EE205A" w:rsidRPr="00514311" w:rsidRDefault="00517A5D" w:rsidP="00176A31">
            <w:pPr>
              <w:pStyle w:val="TableText"/>
              <w:rPr>
                <w:color w:val="7030A0"/>
              </w:rPr>
            </w:pPr>
            <w:r w:rsidRPr="00514311">
              <w:rPr>
                <w:color w:val="7030A0"/>
              </w:rPr>
              <w:t>High-occupancy vehicle/managed lanes</w:t>
            </w:r>
          </w:p>
        </w:tc>
        <w:tc>
          <w:tcPr>
            <w:tcW w:w="2607" w:type="dxa"/>
          </w:tcPr>
          <w:p w14:paraId="186CBD7D" w14:textId="384668AA"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7030A0"/>
              </w:rPr>
            </w:pPr>
          </w:p>
        </w:tc>
        <w:tc>
          <w:tcPr>
            <w:tcW w:w="2608" w:type="dxa"/>
          </w:tcPr>
          <w:p w14:paraId="1EAE2347" w14:textId="04483E84"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7030A0"/>
              </w:rPr>
            </w:pPr>
          </w:p>
        </w:tc>
      </w:tr>
      <w:tr w:rsidR="00EE205A" w:rsidRPr="00640D01" w14:paraId="7A147FEF"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135" w:type="dxa"/>
          </w:tcPr>
          <w:p w14:paraId="2F53C47D" w14:textId="71791237" w:rsidR="00EE205A" w:rsidRPr="00514311" w:rsidRDefault="00EE205A" w:rsidP="00176A31">
            <w:pPr>
              <w:pStyle w:val="TableText"/>
              <w:rPr>
                <w:color w:val="7030A0"/>
              </w:rPr>
            </w:pPr>
            <w:r w:rsidRPr="00514311">
              <w:rPr>
                <w:color w:val="7030A0"/>
              </w:rPr>
              <w:t>Park-n-</w:t>
            </w:r>
            <w:r w:rsidR="00517A5D" w:rsidRPr="00514311">
              <w:rPr>
                <w:color w:val="7030A0"/>
              </w:rPr>
              <w:t>ride lots</w:t>
            </w:r>
          </w:p>
        </w:tc>
        <w:tc>
          <w:tcPr>
            <w:tcW w:w="2607" w:type="dxa"/>
          </w:tcPr>
          <w:p w14:paraId="3BA5A9DB" w14:textId="728717C5"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7030A0"/>
              </w:rPr>
            </w:pPr>
          </w:p>
        </w:tc>
        <w:tc>
          <w:tcPr>
            <w:tcW w:w="2608" w:type="dxa"/>
          </w:tcPr>
          <w:p w14:paraId="5D72041C" w14:textId="05B326E5"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7030A0"/>
              </w:rPr>
            </w:pPr>
          </w:p>
        </w:tc>
      </w:tr>
      <w:tr w:rsidR="00EE205A" w:rsidRPr="00640D01" w14:paraId="3C1A789D"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135" w:type="dxa"/>
          </w:tcPr>
          <w:p w14:paraId="7F7CE4E3" w14:textId="77777777" w:rsidR="00EE205A" w:rsidRPr="00514311" w:rsidRDefault="00EE205A" w:rsidP="00176A31">
            <w:pPr>
              <w:pStyle w:val="TableText"/>
              <w:rPr>
                <w:color w:val="7030A0"/>
              </w:rPr>
            </w:pPr>
            <w:r w:rsidRPr="00514311">
              <w:rPr>
                <w:color w:val="7030A0"/>
              </w:rPr>
              <w:t>Vanpools</w:t>
            </w:r>
          </w:p>
        </w:tc>
        <w:tc>
          <w:tcPr>
            <w:tcW w:w="2607" w:type="dxa"/>
          </w:tcPr>
          <w:p w14:paraId="7565DC69" w14:textId="7F1E982B"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7030A0"/>
              </w:rPr>
            </w:pPr>
          </w:p>
        </w:tc>
        <w:tc>
          <w:tcPr>
            <w:tcW w:w="2608" w:type="dxa"/>
          </w:tcPr>
          <w:p w14:paraId="5FC5A366" w14:textId="4C417965"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7030A0"/>
              </w:rPr>
            </w:pPr>
          </w:p>
        </w:tc>
      </w:tr>
      <w:tr w:rsidR="00EE205A" w:rsidRPr="00640D01" w14:paraId="10BBC2F2"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135" w:type="dxa"/>
          </w:tcPr>
          <w:p w14:paraId="5E9202D7" w14:textId="63BDB636" w:rsidR="00EE205A" w:rsidRPr="00514311" w:rsidRDefault="00517A5D" w:rsidP="00176A31">
            <w:pPr>
              <w:pStyle w:val="TableText"/>
              <w:rPr>
                <w:color w:val="7030A0"/>
              </w:rPr>
            </w:pPr>
            <w:r w:rsidRPr="00514311">
              <w:rPr>
                <w:color w:val="7030A0"/>
              </w:rPr>
              <w:t>Grade separations</w:t>
            </w:r>
          </w:p>
        </w:tc>
        <w:tc>
          <w:tcPr>
            <w:tcW w:w="2607" w:type="dxa"/>
          </w:tcPr>
          <w:p w14:paraId="2283C9D9" w14:textId="42464730"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7030A0"/>
              </w:rPr>
            </w:pPr>
          </w:p>
        </w:tc>
        <w:tc>
          <w:tcPr>
            <w:tcW w:w="2608" w:type="dxa"/>
          </w:tcPr>
          <w:p w14:paraId="34E35835" w14:textId="55D6813B"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7030A0"/>
              </w:rPr>
            </w:pPr>
          </w:p>
        </w:tc>
      </w:tr>
      <w:tr w:rsidR="00EE205A" w:rsidRPr="00640D01" w14:paraId="76DB8E8D"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135" w:type="dxa"/>
          </w:tcPr>
          <w:p w14:paraId="0E3281A7" w14:textId="3ABFDFEA" w:rsidR="00EE205A" w:rsidRPr="00514311" w:rsidRDefault="00517A5D" w:rsidP="00176A31">
            <w:pPr>
              <w:pStyle w:val="TableText"/>
              <w:rPr>
                <w:color w:val="7030A0"/>
              </w:rPr>
            </w:pPr>
            <w:r w:rsidRPr="00514311">
              <w:rPr>
                <w:color w:val="7030A0"/>
              </w:rPr>
              <w:t>Traffic signal improvements</w:t>
            </w:r>
          </w:p>
        </w:tc>
        <w:tc>
          <w:tcPr>
            <w:tcW w:w="2607" w:type="dxa"/>
          </w:tcPr>
          <w:p w14:paraId="42A49EF0" w14:textId="2BF44CD9"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7030A0"/>
              </w:rPr>
            </w:pPr>
          </w:p>
        </w:tc>
        <w:tc>
          <w:tcPr>
            <w:tcW w:w="2608" w:type="dxa"/>
          </w:tcPr>
          <w:p w14:paraId="40722AAA" w14:textId="51CAB5DF"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7030A0"/>
              </w:rPr>
            </w:pPr>
          </w:p>
        </w:tc>
      </w:tr>
      <w:tr w:rsidR="00EE205A" w:rsidRPr="00640D01" w14:paraId="6B5AEAEC"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135" w:type="dxa"/>
          </w:tcPr>
          <w:p w14:paraId="5FF8AC69" w14:textId="3E19A5B7" w:rsidR="00EE205A" w:rsidRPr="00514311" w:rsidRDefault="00517A5D" w:rsidP="00176A31">
            <w:pPr>
              <w:pStyle w:val="TableText"/>
              <w:rPr>
                <w:color w:val="7030A0"/>
              </w:rPr>
            </w:pPr>
            <w:r w:rsidRPr="00514311">
              <w:rPr>
                <w:color w:val="7030A0"/>
              </w:rPr>
              <w:t>Intelligent transportation systems</w:t>
            </w:r>
          </w:p>
        </w:tc>
        <w:tc>
          <w:tcPr>
            <w:tcW w:w="2607" w:type="dxa"/>
          </w:tcPr>
          <w:p w14:paraId="61FB1547" w14:textId="650C8DC0"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7030A0"/>
              </w:rPr>
            </w:pPr>
          </w:p>
        </w:tc>
        <w:tc>
          <w:tcPr>
            <w:tcW w:w="2608" w:type="dxa"/>
          </w:tcPr>
          <w:p w14:paraId="786C3C86" w14:textId="29A3DAFF"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7030A0"/>
              </w:rPr>
            </w:pPr>
          </w:p>
        </w:tc>
      </w:tr>
      <w:tr w:rsidR="00EE205A" w:rsidRPr="00640D01" w14:paraId="7D044ABE"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135" w:type="dxa"/>
          </w:tcPr>
          <w:p w14:paraId="19F33E85" w14:textId="3FB30F38" w:rsidR="00EE205A" w:rsidRPr="00514311" w:rsidRDefault="00517A5D" w:rsidP="00176A31">
            <w:pPr>
              <w:pStyle w:val="TableText"/>
              <w:rPr>
                <w:color w:val="7030A0"/>
              </w:rPr>
            </w:pPr>
            <w:r w:rsidRPr="00514311">
              <w:rPr>
                <w:color w:val="7030A0"/>
              </w:rPr>
              <w:t>Clean vehicle commitments</w:t>
            </w:r>
          </w:p>
        </w:tc>
        <w:tc>
          <w:tcPr>
            <w:tcW w:w="2607" w:type="dxa"/>
          </w:tcPr>
          <w:p w14:paraId="23B2459E" w14:textId="74BA2A39"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C00000"/>
              </w:rPr>
            </w:pPr>
          </w:p>
        </w:tc>
        <w:tc>
          <w:tcPr>
            <w:tcW w:w="2608" w:type="dxa"/>
          </w:tcPr>
          <w:p w14:paraId="092574F3" w14:textId="33D3F042"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C00000"/>
              </w:rPr>
            </w:pPr>
          </w:p>
        </w:tc>
      </w:tr>
      <w:tr w:rsidR="00EE205A" w:rsidRPr="00640D01" w14:paraId="0FD46C54"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135" w:type="dxa"/>
          </w:tcPr>
          <w:p w14:paraId="28B44B45" w14:textId="7F86AB4B" w:rsidR="00EE205A" w:rsidRPr="00514311" w:rsidRDefault="00517A5D" w:rsidP="00176A31">
            <w:pPr>
              <w:pStyle w:val="TableText"/>
              <w:rPr>
                <w:color w:val="7030A0"/>
              </w:rPr>
            </w:pPr>
            <w:r w:rsidRPr="00514311">
              <w:rPr>
                <w:color w:val="7030A0"/>
              </w:rPr>
              <w:t>Bicycle/pedestrian facilities</w:t>
            </w:r>
          </w:p>
        </w:tc>
        <w:tc>
          <w:tcPr>
            <w:tcW w:w="2607" w:type="dxa"/>
          </w:tcPr>
          <w:p w14:paraId="27B84D71" w14:textId="29E762A1"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C00000"/>
              </w:rPr>
            </w:pPr>
          </w:p>
        </w:tc>
        <w:tc>
          <w:tcPr>
            <w:tcW w:w="2608" w:type="dxa"/>
          </w:tcPr>
          <w:p w14:paraId="647FA471" w14:textId="739EE344"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C00000"/>
              </w:rPr>
            </w:pPr>
          </w:p>
        </w:tc>
      </w:tr>
      <w:tr w:rsidR="00EE205A" w:rsidRPr="00640D01" w14:paraId="42012EDA"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135" w:type="dxa"/>
          </w:tcPr>
          <w:p w14:paraId="634C8DDB" w14:textId="2F8DA729" w:rsidR="00EE205A" w:rsidRPr="00514311" w:rsidRDefault="00517A5D" w:rsidP="00176A31">
            <w:pPr>
              <w:pStyle w:val="TableText"/>
              <w:rPr>
                <w:color w:val="7030A0"/>
              </w:rPr>
            </w:pPr>
            <w:r w:rsidRPr="00514311">
              <w:rPr>
                <w:color w:val="7030A0"/>
              </w:rPr>
              <w:t>Employer trip reduction programs</w:t>
            </w:r>
          </w:p>
        </w:tc>
        <w:tc>
          <w:tcPr>
            <w:tcW w:w="2607" w:type="dxa"/>
          </w:tcPr>
          <w:p w14:paraId="0AEB055F" w14:textId="5B5DA779"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C00000"/>
              </w:rPr>
            </w:pPr>
          </w:p>
        </w:tc>
        <w:tc>
          <w:tcPr>
            <w:tcW w:w="2608" w:type="dxa"/>
          </w:tcPr>
          <w:p w14:paraId="7539B5D2" w14:textId="3C2EFE54"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C00000"/>
              </w:rPr>
            </w:pPr>
          </w:p>
        </w:tc>
      </w:tr>
      <w:tr w:rsidR="00EE205A" w:rsidRPr="00640D01" w14:paraId="164ACA60"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135" w:type="dxa"/>
          </w:tcPr>
          <w:p w14:paraId="426F3AE2" w14:textId="45CDA866" w:rsidR="00EE205A" w:rsidRPr="00514311" w:rsidRDefault="00517A5D" w:rsidP="00176A31">
            <w:pPr>
              <w:pStyle w:val="TableText"/>
              <w:rPr>
                <w:color w:val="7030A0"/>
              </w:rPr>
            </w:pPr>
            <w:r w:rsidRPr="00514311">
              <w:rPr>
                <w:color w:val="7030A0"/>
              </w:rPr>
              <w:t>Sustainable development</w:t>
            </w:r>
          </w:p>
        </w:tc>
        <w:tc>
          <w:tcPr>
            <w:tcW w:w="2607" w:type="dxa"/>
          </w:tcPr>
          <w:p w14:paraId="4032DA33" w14:textId="08157D49"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C00000"/>
              </w:rPr>
            </w:pPr>
          </w:p>
        </w:tc>
        <w:tc>
          <w:tcPr>
            <w:tcW w:w="2608" w:type="dxa"/>
          </w:tcPr>
          <w:p w14:paraId="79E9B828" w14:textId="7027AA7A"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C00000"/>
              </w:rPr>
            </w:pPr>
          </w:p>
        </w:tc>
      </w:tr>
      <w:tr w:rsidR="00EE205A" w:rsidRPr="00640D01" w14:paraId="064112B5" w14:textId="77777777" w:rsidTr="00514311">
        <w:trPr>
          <w:trHeight w:val="317"/>
        </w:trPr>
        <w:tc>
          <w:tcPr>
            <w:cnfStyle w:val="001000000000" w:firstRow="0" w:lastRow="0" w:firstColumn="1" w:lastColumn="0" w:oddVBand="0" w:evenVBand="0" w:oddHBand="0" w:evenHBand="0" w:firstRowFirstColumn="0" w:firstRowLastColumn="0" w:lastRowFirstColumn="0" w:lastRowLastColumn="0"/>
            <w:tcW w:w="4135" w:type="dxa"/>
          </w:tcPr>
          <w:p w14:paraId="4E427175" w14:textId="1FD443C2" w:rsidR="00EE205A" w:rsidRPr="00514311" w:rsidRDefault="00517A5D" w:rsidP="00176A31">
            <w:pPr>
              <w:pStyle w:val="TableText"/>
              <w:rPr>
                <w:color w:val="7030A0"/>
              </w:rPr>
            </w:pPr>
            <w:r w:rsidRPr="00514311">
              <w:rPr>
                <w:color w:val="7030A0"/>
              </w:rPr>
              <w:t>Public education/ozone season fare reduction</w:t>
            </w:r>
          </w:p>
        </w:tc>
        <w:tc>
          <w:tcPr>
            <w:tcW w:w="2607" w:type="dxa"/>
          </w:tcPr>
          <w:p w14:paraId="66077243" w14:textId="05CEBE3A"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C00000"/>
              </w:rPr>
            </w:pPr>
          </w:p>
        </w:tc>
        <w:tc>
          <w:tcPr>
            <w:tcW w:w="2608" w:type="dxa"/>
          </w:tcPr>
          <w:p w14:paraId="46B76F99" w14:textId="7AA5268E" w:rsidR="00EE205A" w:rsidRPr="00640D01" w:rsidRDefault="00EE205A" w:rsidP="00176A31">
            <w:pPr>
              <w:pStyle w:val="TableText"/>
              <w:cnfStyle w:val="000000000000" w:firstRow="0" w:lastRow="0" w:firstColumn="0" w:lastColumn="0" w:oddVBand="0" w:evenVBand="0" w:oddHBand="0" w:evenHBand="0" w:firstRowFirstColumn="0" w:firstRowLastColumn="0" w:lastRowFirstColumn="0" w:lastRowLastColumn="0"/>
              <w:rPr>
                <w:color w:val="C00000"/>
              </w:rPr>
            </w:pPr>
          </w:p>
        </w:tc>
      </w:tr>
    </w:tbl>
    <w:p w14:paraId="4D23239B" w14:textId="09B988A1" w:rsidR="0011731C" w:rsidRPr="00640D01" w:rsidRDefault="00017A79" w:rsidP="00B95FFB">
      <w:pPr>
        <w:pStyle w:val="Heading2"/>
        <w:spacing w:before="240"/>
      </w:pPr>
      <w:bookmarkStart w:id="121" w:name="_Toc190242726"/>
      <w:r w:rsidRPr="00640D01">
        <w:t>Modeled Emission Estimates</w:t>
      </w:r>
      <w:bookmarkEnd w:id="121"/>
    </w:p>
    <w:p w14:paraId="0D6F860E" w14:textId="498CEF49" w:rsidR="00016721" w:rsidRPr="00640D01" w:rsidRDefault="00016721" w:rsidP="000E7828">
      <w:pPr>
        <w:pStyle w:val="BodyText"/>
      </w:pPr>
      <w:r w:rsidRPr="00640D01">
        <w:t xml:space="preserve">Modeled emission estimates are calculated using TTI emission inventory estimation utilities using </w:t>
      </w:r>
      <w:r w:rsidR="00D505A7" w:rsidRPr="00640D01">
        <w:t>MOVES</w:t>
      </w:r>
      <w:r w:rsidRPr="00640D01">
        <w:t xml:space="preserve">: </w:t>
      </w:r>
      <w:r w:rsidR="00CE703E" w:rsidRPr="00640D01">
        <w:rPr>
          <w:color w:val="7030A0"/>
        </w:rPr>
        <w:t>[</w:t>
      </w:r>
      <w:r w:rsidR="00CE703E" w:rsidRPr="00640D01">
        <w:rPr>
          <w:b/>
          <w:bCs/>
          <w:color w:val="7030A0"/>
        </w:rPr>
        <w:t>TTI utilities version</w:t>
      </w:r>
      <w:r w:rsidR="00CE703E" w:rsidRPr="00640D01">
        <w:rPr>
          <w:color w:val="7030A0"/>
        </w:rPr>
        <w:t xml:space="preserve"> </w:t>
      </w:r>
      <w:r w:rsidR="00D505A7" w:rsidRPr="00640D01">
        <w:rPr>
          <w:color w:val="7030A0"/>
        </w:rPr>
        <w:t>(e</w:t>
      </w:r>
      <w:r w:rsidR="00CE703E" w:rsidRPr="00640D01">
        <w:rPr>
          <w:color w:val="7030A0"/>
        </w:rPr>
        <w:t>.g.</w:t>
      </w:r>
      <w:r w:rsidR="00D505A7" w:rsidRPr="00640D01">
        <w:rPr>
          <w:color w:val="7030A0"/>
        </w:rPr>
        <w:t xml:space="preserve">, </w:t>
      </w:r>
      <w:r w:rsidRPr="00640D01">
        <w:rPr>
          <w:color w:val="7030A0"/>
        </w:rPr>
        <w:t>MOVES2014bUtils</w:t>
      </w:r>
      <w:r w:rsidR="00FC2130" w:rsidRPr="00640D01">
        <w:rPr>
          <w:color w:val="7030A0"/>
        </w:rPr>
        <w:t>)</w:t>
      </w:r>
      <w:r w:rsidR="00CE703E" w:rsidRPr="00640D01">
        <w:rPr>
          <w:color w:val="7030A0"/>
        </w:rPr>
        <w:t>]</w:t>
      </w:r>
      <w:r w:rsidRPr="00640D01">
        <w:t>, developed by TTI for MOVES. This utility combines vehicle activity and emissions factors to create emission estimates at the link level.</w:t>
      </w:r>
    </w:p>
    <w:p w14:paraId="0A768D72" w14:textId="77777777" w:rsidR="00016721" w:rsidRPr="00640D01" w:rsidRDefault="00016721" w:rsidP="00016721">
      <w:pPr>
        <w:pStyle w:val="Heading3"/>
      </w:pPr>
      <w:bookmarkStart w:id="122" w:name="_Toc190242727"/>
      <w:r w:rsidRPr="00640D01">
        <w:t>Vehicle Registration Distribution</w:t>
      </w:r>
      <w:bookmarkEnd w:id="122"/>
    </w:p>
    <w:p w14:paraId="011D1766" w14:textId="64354653" w:rsidR="00016721" w:rsidRPr="00640D01" w:rsidRDefault="00016721" w:rsidP="000E7828">
      <w:pPr>
        <w:pStyle w:val="BodyText"/>
      </w:pPr>
      <w:r w:rsidRPr="00640D01">
        <w:t xml:space="preserve">Vehicle registration (age) distributions were developed using the latest available TxDMV </w:t>
      </w:r>
      <w:r w:rsidR="00FC2130" w:rsidRPr="00640D01">
        <w:t>analysis-</w:t>
      </w:r>
      <w:r w:rsidRPr="00640D01">
        <w:t>year-specific county vehicle registration data.</w:t>
      </w:r>
      <w:r w:rsidR="00D71BDA">
        <w:t xml:space="preserve"> Data from</w:t>
      </w:r>
      <w:r w:rsidRPr="00640D01">
        <w:t xml:space="preserve"> </w:t>
      </w:r>
      <w:r w:rsidR="00C12D23" w:rsidRPr="00176A31">
        <w:rPr>
          <w:color w:val="7030A0"/>
        </w:rPr>
        <w:t>[</w:t>
      </w:r>
      <w:r w:rsidR="00C12D23" w:rsidRPr="00640D01">
        <w:rPr>
          <w:b/>
          <w:bCs/>
          <w:color w:val="7030A0"/>
        </w:rPr>
        <w:t>year</w:t>
      </w:r>
      <w:r w:rsidR="00C12D23" w:rsidRPr="00176A31">
        <w:rPr>
          <w:color w:val="7030A0"/>
        </w:rPr>
        <w:t>]</w:t>
      </w:r>
      <w:r w:rsidRPr="00640D01">
        <w:t xml:space="preserve"> </w:t>
      </w:r>
      <w:r w:rsidR="00D505A7" w:rsidRPr="00640D01">
        <w:t xml:space="preserve">were </w:t>
      </w:r>
      <w:r w:rsidRPr="00640D01">
        <w:t xml:space="preserve">used for the </w:t>
      </w:r>
      <w:r w:rsidR="00294919" w:rsidRPr="00640D01">
        <w:rPr>
          <w:b/>
          <w:bCs/>
          <w:color w:val="7030A0"/>
        </w:rPr>
        <w:fldChar w:fldCharType="begin"/>
      </w:r>
      <w:r w:rsidR="00294919" w:rsidRPr="00640D01">
        <w:instrText xml:space="preserve"> REF BaseYear \h </w:instrText>
      </w:r>
      <w:r w:rsidR="00294919" w:rsidRPr="00640D01">
        <w:rPr>
          <w:b/>
          <w:bCs/>
          <w:color w:val="7030A0"/>
        </w:rPr>
      </w:r>
      <w:r w:rsidR="00294919" w:rsidRPr="00640D01">
        <w:rPr>
          <w:b/>
          <w:bCs/>
          <w:color w:val="7030A0"/>
        </w:rPr>
        <w:fldChar w:fldCharType="separate"/>
      </w:r>
      <w:r w:rsidR="00514311" w:rsidRPr="00640D01">
        <w:rPr>
          <w:b/>
          <w:bCs/>
          <w:color w:val="C00000"/>
        </w:rPr>
        <w:t xml:space="preserve">[Base Year] </w:t>
      </w:r>
      <w:r w:rsidR="00294919" w:rsidRPr="00640D01">
        <w:rPr>
          <w:b/>
          <w:bCs/>
          <w:color w:val="7030A0"/>
        </w:rPr>
        <w:fldChar w:fldCharType="end"/>
      </w:r>
      <w:r w:rsidRPr="00640D01">
        <w:t>base year. The latest available data (</w:t>
      </w:r>
      <w:r w:rsidR="00C12D23" w:rsidRPr="00176A31">
        <w:rPr>
          <w:color w:val="7030A0"/>
        </w:rPr>
        <w:t>[</w:t>
      </w:r>
      <w:r w:rsidR="00C12D23" w:rsidRPr="00640D01">
        <w:rPr>
          <w:b/>
          <w:bCs/>
          <w:color w:val="7030A0"/>
        </w:rPr>
        <w:t>latest available data year</w:t>
      </w:r>
      <w:r w:rsidR="00886BA7" w:rsidRPr="00176A31">
        <w:rPr>
          <w:color w:val="7030A0"/>
        </w:rPr>
        <w:t>]</w:t>
      </w:r>
      <w:r w:rsidRPr="00640D01">
        <w:t xml:space="preserve">) </w:t>
      </w:r>
      <w:r w:rsidR="00D505A7" w:rsidRPr="00640D01">
        <w:t xml:space="preserve">were </w:t>
      </w:r>
      <w:r w:rsidRPr="00640D01">
        <w:t>used for the future analysis years</w:t>
      </w:r>
      <w:r w:rsidR="00886BA7" w:rsidRPr="00640D01">
        <w:t xml:space="preserve"> </w:t>
      </w:r>
      <w:r w:rsidR="00D505A7" w:rsidRPr="00640D01">
        <w:t>(</w:t>
      </w:r>
      <w:r w:rsidR="00886BA7" w:rsidRPr="00176A31">
        <w:rPr>
          <w:color w:val="7030A0"/>
        </w:rPr>
        <w:t>[</w:t>
      </w:r>
      <w:r w:rsidR="00886BA7" w:rsidRPr="00640D01">
        <w:rPr>
          <w:b/>
          <w:bCs/>
          <w:color w:val="7030A0"/>
        </w:rPr>
        <w:t>future analysis years</w:t>
      </w:r>
      <w:r w:rsidR="00886BA7" w:rsidRPr="00176A31">
        <w:rPr>
          <w:color w:val="7030A0"/>
        </w:rPr>
        <w:t>]</w:t>
      </w:r>
      <w:r w:rsidR="00D505A7" w:rsidRPr="00176A31">
        <w:rPr>
          <w:b/>
          <w:bCs/>
        </w:rPr>
        <w:t>)</w:t>
      </w:r>
      <w:r w:rsidRPr="00640D01">
        <w:t>. MOVES defaults were used where the required information was not available in the TxDMV data.</w:t>
      </w:r>
    </w:p>
    <w:p w14:paraId="54175462" w14:textId="4E18D063" w:rsidR="00016721" w:rsidRPr="00640D01" w:rsidRDefault="00016721" w:rsidP="000E7828">
      <w:pPr>
        <w:pStyle w:val="BodyText"/>
      </w:pPr>
      <w:r w:rsidRPr="00640D01">
        <w:t xml:space="preserve">The input values for each vehicle class are </w:t>
      </w:r>
      <w:r w:rsidR="00CE703E" w:rsidRPr="00640D01">
        <w:rPr>
          <w:color w:val="7030A0"/>
        </w:rPr>
        <w:t>[</w:t>
      </w:r>
      <w:r w:rsidR="00D505A7" w:rsidRPr="00640D01">
        <w:rPr>
          <w:b/>
          <w:bCs/>
          <w:color w:val="7030A0"/>
        </w:rPr>
        <w:t xml:space="preserve">age </w:t>
      </w:r>
      <w:r w:rsidR="00CE703E" w:rsidRPr="00640D01">
        <w:rPr>
          <w:b/>
          <w:bCs/>
          <w:color w:val="7030A0"/>
        </w:rPr>
        <w:t>fraction</w:t>
      </w:r>
      <w:r w:rsidR="00CE703E" w:rsidRPr="00640D01">
        <w:rPr>
          <w:color w:val="7030A0"/>
        </w:rPr>
        <w:t xml:space="preserve"> </w:t>
      </w:r>
      <w:r w:rsidR="00D505A7" w:rsidRPr="00640D01">
        <w:rPr>
          <w:color w:val="7030A0"/>
        </w:rPr>
        <w:t>(e</w:t>
      </w:r>
      <w:r w:rsidR="00CE703E" w:rsidRPr="00640D01">
        <w:rPr>
          <w:color w:val="7030A0"/>
        </w:rPr>
        <w:t xml:space="preserve">.g., </w:t>
      </w:r>
      <w:r w:rsidRPr="00640D01">
        <w:rPr>
          <w:color w:val="7030A0"/>
        </w:rPr>
        <w:t>30</w:t>
      </w:r>
      <w:r w:rsidR="00D505A7" w:rsidRPr="00640D01">
        <w:rPr>
          <w:color w:val="7030A0"/>
        </w:rPr>
        <w:t>)</w:t>
      </w:r>
      <w:r w:rsidR="00CE703E" w:rsidRPr="00640D01">
        <w:rPr>
          <w:color w:val="7030A0"/>
        </w:rPr>
        <w:t>]</w:t>
      </w:r>
      <w:r w:rsidRPr="00640D01">
        <w:t xml:space="preserve"> age fractions representing the fraction of vehicles by age for that </w:t>
      </w:r>
      <w:r w:rsidR="00CE703E" w:rsidRPr="00640D01">
        <w:t>vehicle</w:t>
      </w:r>
      <w:r w:rsidRPr="00640D01">
        <w:t xml:space="preserve"> class as of December of the evaluation year. These age fractions start with the evaluation year as the </w:t>
      </w:r>
      <w:r w:rsidR="00D505A7" w:rsidRPr="00640D01">
        <w:t xml:space="preserve">first </w:t>
      </w:r>
      <w:r w:rsidRPr="00640D01">
        <w:t xml:space="preserve">age fraction and work back in annual increments to end with the </w:t>
      </w:r>
      <w:r w:rsidR="00CE703E" w:rsidRPr="00640D01">
        <w:rPr>
          <w:color w:val="7030A0"/>
        </w:rPr>
        <w:t>[</w:t>
      </w:r>
      <w:r w:rsidR="00CE703E" w:rsidRPr="00640D01">
        <w:rPr>
          <w:b/>
          <w:bCs/>
          <w:color w:val="7030A0"/>
        </w:rPr>
        <w:t>last age fraction</w:t>
      </w:r>
      <w:r w:rsidR="00CE703E" w:rsidRPr="00640D01">
        <w:rPr>
          <w:color w:val="7030A0"/>
        </w:rPr>
        <w:t xml:space="preserve"> </w:t>
      </w:r>
      <w:r w:rsidR="00D505A7" w:rsidRPr="00640D01">
        <w:rPr>
          <w:color w:val="7030A0"/>
        </w:rPr>
        <w:t>(e</w:t>
      </w:r>
      <w:r w:rsidR="00CE703E" w:rsidRPr="00640D01">
        <w:rPr>
          <w:color w:val="7030A0"/>
        </w:rPr>
        <w:t xml:space="preserve">.g., </w:t>
      </w:r>
      <w:r w:rsidRPr="00640D01">
        <w:rPr>
          <w:color w:val="7030A0"/>
        </w:rPr>
        <w:t>30</w:t>
      </w:r>
      <w:r w:rsidRPr="00176A31">
        <w:rPr>
          <w:color w:val="7030A0"/>
        </w:rPr>
        <w:t>th</w:t>
      </w:r>
      <w:r w:rsidR="00D505A7" w:rsidRPr="00176A31">
        <w:rPr>
          <w:color w:val="7030A0"/>
        </w:rPr>
        <w:t>)</w:t>
      </w:r>
      <w:r w:rsidR="00CE703E" w:rsidRPr="00640D01">
        <w:rPr>
          <w:color w:val="7030A0"/>
        </w:rPr>
        <w:t>]</w:t>
      </w:r>
      <w:r w:rsidR="00CE703E" w:rsidRPr="00640D01">
        <w:t xml:space="preserve"> </w:t>
      </w:r>
      <w:r w:rsidRPr="00640D01">
        <w:t xml:space="preserve">fraction, which represents the fraction of vehicles of age </w:t>
      </w:r>
      <w:r w:rsidR="00CE703E" w:rsidRPr="00640D01">
        <w:rPr>
          <w:color w:val="7030A0"/>
        </w:rPr>
        <w:t>[</w:t>
      </w:r>
      <w:r w:rsidR="00CE703E" w:rsidRPr="00640D01">
        <w:rPr>
          <w:b/>
          <w:bCs/>
          <w:color w:val="7030A0"/>
        </w:rPr>
        <w:t>older vehicle age</w:t>
      </w:r>
      <w:r w:rsidR="00CE703E" w:rsidRPr="00640D01">
        <w:rPr>
          <w:color w:val="7030A0"/>
        </w:rPr>
        <w:t xml:space="preserve"> </w:t>
      </w:r>
      <w:r w:rsidR="00D505A7" w:rsidRPr="00640D01">
        <w:rPr>
          <w:color w:val="7030A0"/>
        </w:rPr>
        <w:t>(e</w:t>
      </w:r>
      <w:r w:rsidR="00CE703E" w:rsidRPr="00640D01">
        <w:rPr>
          <w:color w:val="7030A0"/>
        </w:rPr>
        <w:t>.g., 30</w:t>
      </w:r>
      <w:r w:rsidR="00D505A7" w:rsidRPr="00640D01">
        <w:rPr>
          <w:color w:val="7030A0"/>
        </w:rPr>
        <w:t>)</w:t>
      </w:r>
      <w:r w:rsidR="00CE703E" w:rsidRPr="00640D01">
        <w:rPr>
          <w:color w:val="7030A0"/>
        </w:rPr>
        <w:t>]</w:t>
      </w:r>
      <w:r w:rsidRPr="00640D01">
        <w:t xml:space="preserve"> years and older. The fractions are calculated as the model-year-specific registrations in a class divided by the total vehicles registered in that class.</w:t>
      </w:r>
    </w:p>
    <w:p w14:paraId="1E0D1383" w14:textId="77777777" w:rsidR="00016721" w:rsidRPr="00640D01" w:rsidRDefault="00016721" w:rsidP="00016721">
      <w:pPr>
        <w:pStyle w:val="Heading3"/>
      </w:pPr>
      <w:bookmarkStart w:id="123" w:name="_Toc190242728"/>
      <w:r w:rsidRPr="00640D01">
        <w:t>Alternative Fuel Vehicle Technology</w:t>
      </w:r>
      <w:bookmarkEnd w:id="123"/>
    </w:p>
    <w:p w14:paraId="76B25AB5" w14:textId="6C7234A1" w:rsidR="00016721" w:rsidRPr="00640D01" w:rsidRDefault="00016721" w:rsidP="000E7828">
      <w:pPr>
        <w:pStyle w:val="BodyText"/>
      </w:pPr>
      <w:r w:rsidRPr="00640D01">
        <w:t xml:space="preserve">AVFT fractions were developed using the latest available TxDMV </w:t>
      </w:r>
      <w:r w:rsidR="00D505A7" w:rsidRPr="00640D01">
        <w:t>analysis-</w:t>
      </w:r>
      <w:r w:rsidRPr="00640D01">
        <w:t xml:space="preserve">year-specific county vehicle registration data. </w:t>
      </w:r>
      <w:r w:rsidR="00D71BDA">
        <w:t xml:space="preserve">Data from </w:t>
      </w:r>
      <w:r w:rsidR="00886BA7" w:rsidRPr="00176A31">
        <w:rPr>
          <w:color w:val="7030A0"/>
        </w:rPr>
        <w:t>[</w:t>
      </w:r>
      <w:r w:rsidR="00294919" w:rsidRPr="00640D01">
        <w:rPr>
          <w:b/>
          <w:bCs/>
          <w:color w:val="7030A0"/>
        </w:rPr>
        <w:t xml:space="preserve">Data </w:t>
      </w:r>
      <w:r w:rsidR="00886BA7" w:rsidRPr="00640D01">
        <w:rPr>
          <w:b/>
          <w:bCs/>
          <w:color w:val="7030A0"/>
        </w:rPr>
        <w:t>year</w:t>
      </w:r>
      <w:r w:rsidR="00886BA7" w:rsidRPr="00176A31">
        <w:rPr>
          <w:color w:val="7030A0"/>
        </w:rPr>
        <w:t>]</w:t>
      </w:r>
      <w:r w:rsidR="00886BA7" w:rsidRPr="00640D01">
        <w:t xml:space="preserve"> </w:t>
      </w:r>
      <w:r w:rsidR="00D505A7" w:rsidRPr="00640D01">
        <w:t xml:space="preserve">were </w:t>
      </w:r>
      <w:r w:rsidR="00886BA7" w:rsidRPr="00640D01">
        <w:t xml:space="preserve">used for the </w:t>
      </w:r>
      <w:r w:rsidR="00294919" w:rsidRPr="00640D01">
        <w:rPr>
          <w:b/>
          <w:bCs/>
          <w:color w:val="7030A0"/>
        </w:rPr>
        <w:fldChar w:fldCharType="begin"/>
      </w:r>
      <w:r w:rsidR="00294919" w:rsidRPr="00640D01">
        <w:instrText xml:space="preserve"> REF BaseYear \h </w:instrText>
      </w:r>
      <w:r w:rsidR="00294919" w:rsidRPr="00640D01">
        <w:rPr>
          <w:b/>
          <w:bCs/>
          <w:color w:val="7030A0"/>
        </w:rPr>
      </w:r>
      <w:r w:rsidR="00294919" w:rsidRPr="00640D01">
        <w:rPr>
          <w:b/>
          <w:bCs/>
          <w:color w:val="7030A0"/>
        </w:rPr>
        <w:fldChar w:fldCharType="separate"/>
      </w:r>
      <w:r w:rsidR="00514311" w:rsidRPr="00640D01">
        <w:rPr>
          <w:b/>
          <w:bCs/>
          <w:color w:val="C00000"/>
        </w:rPr>
        <w:t xml:space="preserve">[Base Year] </w:t>
      </w:r>
      <w:r w:rsidR="00294919" w:rsidRPr="00640D01">
        <w:rPr>
          <w:b/>
          <w:bCs/>
          <w:color w:val="7030A0"/>
        </w:rPr>
        <w:fldChar w:fldCharType="end"/>
      </w:r>
      <w:r w:rsidR="00886BA7" w:rsidRPr="00640D01">
        <w:t xml:space="preserve">base year. The </w:t>
      </w:r>
      <w:r w:rsidR="00886BA7" w:rsidRPr="00640D01">
        <w:lastRenderedPageBreak/>
        <w:t>latest available data (</w:t>
      </w:r>
      <w:r w:rsidR="00886BA7" w:rsidRPr="00176A31">
        <w:rPr>
          <w:color w:val="7030A0"/>
        </w:rPr>
        <w:t>[</w:t>
      </w:r>
      <w:r w:rsidR="00886BA7" w:rsidRPr="00640D01">
        <w:rPr>
          <w:b/>
          <w:bCs/>
          <w:color w:val="7030A0"/>
        </w:rPr>
        <w:t>latest available data year</w:t>
      </w:r>
      <w:r w:rsidR="00886BA7" w:rsidRPr="00176A31">
        <w:rPr>
          <w:color w:val="7030A0"/>
        </w:rPr>
        <w:t>]</w:t>
      </w:r>
      <w:r w:rsidR="00886BA7" w:rsidRPr="00640D01">
        <w:t xml:space="preserve">) </w:t>
      </w:r>
      <w:r w:rsidR="00D505A7" w:rsidRPr="00640D01">
        <w:t xml:space="preserve">were </w:t>
      </w:r>
      <w:r w:rsidR="00886BA7" w:rsidRPr="00640D01">
        <w:t xml:space="preserve">used for the future analysis years </w:t>
      </w:r>
      <w:r w:rsidR="00D505A7" w:rsidRPr="00640D01">
        <w:t>(</w:t>
      </w:r>
      <w:r w:rsidR="00886BA7" w:rsidRPr="00176A31">
        <w:rPr>
          <w:color w:val="7030A0"/>
        </w:rPr>
        <w:t>[</w:t>
      </w:r>
      <w:r w:rsidR="00886BA7" w:rsidRPr="00640D01">
        <w:rPr>
          <w:b/>
          <w:bCs/>
          <w:color w:val="7030A0"/>
        </w:rPr>
        <w:t>future analysis years</w:t>
      </w:r>
      <w:r w:rsidR="00886BA7" w:rsidRPr="00176A31">
        <w:rPr>
          <w:color w:val="7030A0"/>
        </w:rPr>
        <w:t>]</w:t>
      </w:r>
      <w:r w:rsidR="00D505A7" w:rsidRPr="00176A31">
        <w:t>)</w:t>
      </w:r>
      <w:r w:rsidR="00886BA7" w:rsidRPr="00640D01">
        <w:t>. MOVES defaults were used where the required information was not available in the TxDMV data.</w:t>
      </w:r>
    </w:p>
    <w:p w14:paraId="334ED4F4" w14:textId="566039FF" w:rsidR="00016721" w:rsidRPr="00640D01" w:rsidRDefault="00016721" w:rsidP="000E7828">
      <w:pPr>
        <w:pStyle w:val="BodyText"/>
      </w:pPr>
      <w:r w:rsidRPr="00640D01">
        <w:t xml:space="preserve">TTI developed the </w:t>
      </w:r>
      <w:r w:rsidR="00D505A7" w:rsidRPr="00640D01">
        <w:t>evaluation-</w:t>
      </w:r>
      <w:r w:rsidRPr="00640D01">
        <w:t xml:space="preserve">year-specific local diesel fractions for the MOVES </w:t>
      </w:r>
      <w:r w:rsidR="00D505A7" w:rsidRPr="00640D01">
        <w:t>single-</w:t>
      </w:r>
      <w:r w:rsidRPr="00640D01">
        <w:t>unit and combination truck source use types using the latest TxDMV data, for all analysis years, aggregated to the statewide level. For all source types, CNG and electricity fractions were set to zero and the gasoline/diesel/flex-fuel fractions were normalized (sum to 1.0) for each source type and model year. Fuel usage for flex-fuel vehicles was set to 100</w:t>
      </w:r>
      <w:r w:rsidR="00D505A7" w:rsidRPr="00640D01">
        <w:t xml:space="preserve"> percent </w:t>
      </w:r>
      <w:r w:rsidRPr="00640D01">
        <w:t>gasoline (in the fuel usage fraction input table).</w:t>
      </w:r>
    </w:p>
    <w:p w14:paraId="35BFB2CA" w14:textId="77777777" w:rsidR="00EC162C" w:rsidRPr="00640D01" w:rsidRDefault="00EC162C" w:rsidP="00EC162C">
      <w:pPr>
        <w:pStyle w:val="Heading3"/>
      </w:pPr>
      <w:bookmarkStart w:id="124" w:name="_Toc190242729"/>
      <w:r w:rsidRPr="00640D01">
        <w:t>VMT Mix</w:t>
      </w:r>
      <w:bookmarkEnd w:id="124"/>
    </w:p>
    <w:p w14:paraId="163AB19F" w14:textId="48838148" w:rsidR="00EC162C" w:rsidRPr="00640D01" w:rsidRDefault="00EC162C" w:rsidP="000E7828">
      <w:pPr>
        <w:pStyle w:val="BodyText"/>
      </w:pPr>
      <w:r w:rsidRPr="00640D01">
        <w:t xml:space="preserve">VMT mix (or fractions) is very important to be able to estimate link emissions. The VMT mix is applied to the emission factors in a post-process methodology. The VMT mix enables the assignment of emission factors by vehicle type to VMT to calculate emissions on a specified roadway facility or functional class. VMT mix is estimated for four MOVES roadway types: </w:t>
      </w:r>
      <w:r w:rsidR="00D71BDA">
        <w:t>r</w:t>
      </w:r>
      <w:r w:rsidRPr="00640D01">
        <w:t xml:space="preserve">ural </w:t>
      </w:r>
      <w:r w:rsidR="00D71BDA">
        <w:t>r</w:t>
      </w:r>
      <w:r w:rsidRPr="00640D01">
        <w:t xml:space="preserve">estricted (rural freeways), </w:t>
      </w:r>
      <w:r w:rsidR="00D71BDA">
        <w:t>r</w:t>
      </w:r>
      <w:r w:rsidRPr="00640D01">
        <w:t xml:space="preserve">ural </w:t>
      </w:r>
      <w:r w:rsidR="00D71BDA">
        <w:t>u</w:t>
      </w:r>
      <w:r w:rsidRPr="00640D01">
        <w:t xml:space="preserve">nrestricted (rural arterials and collectors), </w:t>
      </w:r>
      <w:r w:rsidR="00D71BDA">
        <w:t>u</w:t>
      </w:r>
      <w:r w:rsidRPr="00640D01">
        <w:t xml:space="preserve">rban </w:t>
      </w:r>
      <w:r w:rsidR="00D71BDA">
        <w:t>r</w:t>
      </w:r>
      <w:r w:rsidRPr="00640D01">
        <w:t xml:space="preserve">estricted (urban freeways), and </w:t>
      </w:r>
      <w:r w:rsidR="00D71BDA">
        <w:t>u</w:t>
      </w:r>
      <w:r w:rsidRPr="00640D01">
        <w:t xml:space="preserve">rban </w:t>
      </w:r>
      <w:r w:rsidR="00D71BDA">
        <w:t>u</w:t>
      </w:r>
      <w:r w:rsidRPr="00640D01">
        <w:t xml:space="preserve">nrestricted (urban arterials and collectors) for daily time periods for each of the modeled counties. Each county’s roadway sections are classified as rural or urban by the vehicle activity behavior and the demographics of the county. The VMT mix methodology </w:t>
      </w:r>
      <w:r w:rsidR="00D505A7" w:rsidRPr="00640D01">
        <w:t xml:space="preserve">uses </w:t>
      </w:r>
      <w:r w:rsidRPr="00640D01">
        <w:t xml:space="preserve">data, assumptions, and procedures from the TxDOT, TTI, and </w:t>
      </w:r>
      <w:r w:rsidR="00112EFB" w:rsidRPr="00640D01">
        <w:rPr>
          <w:b/>
          <w:bCs/>
          <w:color w:val="C00000"/>
        </w:rPr>
        <w:fldChar w:fldCharType="begin"/>
      </w:r>
      <w:r w:rsidR="00112EFB" w:rsidRPr="00640D01">
        <w:instrText xml:space="preserve"> REF RegionName \h </w:instrText>
      </w:r>
      <w:r w:rsidR="00112EFB" w:rsidRPr="00640D01">
        <w:rPr>
          <w:b/>
          <w:bCs/>
          <w:color w:val="C00000"/>
        </w:rPr>
      </w:r>
      <w:r w:rsidR="00112EFB" w:rsidRPr="00640D01">
        <w:rPr>
          <w:b/>
          <w:bCs/>
          <w:color w:val="C00000"/>
        </w:rPr>
        <w:fldChar w:fldCharType="separate"/>
      </w:r>
      <w:sdt>
        <w:sdtPr>
          <w:rPr>
            <w:b/>
            <w:bCs/>
            <w:color w:val="C00000"/>
          </w:rPr>
          <w:alias w:val="Region Name"/>
          <w:tag w:val="Region Name"/>
          <w:id w:val="1347367564"/>
          <w:placeholder>
            <w:docPart w:val="E6B41A834F6046A49F50A3B3024E7512"/>
          </w:placeholder>
          <w:dropDownList>
            <w:listItem w:displayText="[Region name]" w:value="[Region name]"/>
            <w:listItem w:displayText="Beaumont-Port Arthur" w:value="Beaumont-Port Arthur"/>
            <w:listItem w:displayText="Dallas-Fort Worth" w:value="Dallas-Fort Worth"/>
            <w:listItem w:displayText="El Paso" w:value="El Paso"/>
            <w:listItem w:displayText="Houston-Galveston-Brazoria" w:value="Houston-Galveston-Brazoria"/>
            <w:listItem w:displayText="San Antonio" w:value="San Antonio"/>
          </w:dropDownList>
        </w:sdtPr>
        <w:sdtContent>
          <w:r w:rsidR="00514311">
            <w:rPr>
              <w:b/>
              <w:bCs/>
              <w:color w:val="C00000"/>
            </w:rPr>
            <w:t>[Region name]</w:t>
          </w:r>
        </w:sdtContent>
      </w:sdt>
      <w:r w:rsidR="00112EFB" w:rsidRPr="00640D01">
        <w:rPr>
          <w:b/>
          <w:bCs/>
          <w:color w:val="C00000"/>
        </w:rPr>
        <w:fldChar w:fldCharType="end"/>
      </w:r>
      <w:r w:rsidRPr="00640D01">
        <w:t>region TDM.</w:t>
      </w:r>
    </w:p>
    <w:p w14:paraId="64BCEA1D" w14:textId="45A17529" w:rsidR="00EC162C" w:rsidRPr="00640D01" w:rsidRDefault="00EC162C" w:rsidP="000E7828">
      <w:pPr>
        <w:pStyle w:val="BodyText"/>
      </w:pPr>
      <w:r w:rsidRPr="00640D01">
        <w:t xml:space="preserve">Consistent with the prior analysis, the VMT mixes were produced in </w:t>
      </w:r>
      <w:r w:rsidR="00C128DB" w:rsidRPr="00640D01">
        <w:t>5</w:t>
      </w:r>
      <w:r w:rsidRPr="00640D01">
        <w:t xml:space="preserve">-year increments and applied to analysis years as follows: </w:t>
      </w:r>
    </w:p>
    <w:p w14:paraId="3E6E5412" w14:textId="6F5BC4C6" w:rsidR="00EC162C" w:rsidRPr="00640D01" w:rsidRDefault="00EC162C" w:rsidP="000E7828">
      <w:pPr>
        <w:pStyle w:val="ListBullet"/>
      </w:pPr>
      <w:r w:rsidRPr="00640D01">
        <w:t>2015 VMT mix for 2013 through 2017 analysis years</w:t>
      </w:r>
      <w:r w:rsidR="00C128DB" w:rsidRPr="00640D01">
        <w:t>.</w:t>
      </w:r>
    </w:p>
    <w:p w14:paraId="299C01D8" w14:textId="3762E68D" w:rsidR="00EC162C" w:rsidRPr="00640D01" w:rsidRDefault="00EC162C" w:rsidP="000E7828">
      <w:pPr>
        <w:pStyle w:val="ListBullet"/>
      </w:pPr>
      <w:r w:rsidRPr="00640D01">
        <w:t>2020 VMT mix for 2018 through 2022 analysis years</w:t>
      </w:r>
      <w:r w:rsidR="00C128DB" w:rsidRPr="00640D01">
        <w:t xml:space="preserve">. </w:t>
      </w:r>
    </w:p>
    <w:p w14:paraId="60FF83FF" w14:textId="6833817E" w:rsidR="00EC162C" w:rsidRPr="00640D01" w:rsidRDefault="00EC162C" w:rsidP="000E7828">
      <w:pPr>
        <w:pStyle w:val="ListBullet"/>
      </w:pPr>
      <w:r w:rsidRPr="00640D01">
        <w:t xml:space="preserve">2025 VMT mix for 2023 through 2027 analysis years, etc. </w:t>
      </w:r>
    </w:p>
    <w:p w14:paraId="6E7CAA60" w14:textId="40FFB551" w:rsidR="00B230C5" w:rsidRPr="00640D01" w:rsidRDefault="00CB3CE5" w:rsidP="000E7828">
      <w:pPr>
        <w:pStyle w:val="BodyText"/>
        <w:rPr>
          <w:rFonts w:ascii="Times New Roman Bold" w:eastAsiaTheme="majorEastAsia" w:hAnsi="Times New Roman Bold" w:cstheme="majorBidi"/>
          <w:b/>
          <w:caps/>
          <w:szCs w:val="32"/>
        </w:rPr>
      </w:pPr>
      <w:r w:rsidRPr="00640D01">
        <w:t xml:space="preserve">Using </w:t>
      </w:r>
      <w:r w:rsidR="00D136A9" w:rsidRPr="00640D01">
        <w:t xml:space="preserve">the </w:t>
      </w:r>
      <w:r w:rsidRPr="00640D01">
        <w:t>latest available vehicle classification counts (</w:t>
      </w:r>
      <w:r w:rsidR="00636302" w:rsidRPr="00176A31">
        <w:rPr>
          <w:color w:val="7030A0"/>
        </w:rPr>
        <w:t>[</w:t>
      </w:r>
      <w:r w:rsidR="00636302" w:rsidRPr="00640D01">
        <w:rPr>
          <w:b/>
          <w:bCs/>
          <w:color w:val="7030A0"/>
        </w:rPr>
        <w:t xml:space="preserve">year range </w:t>
      </w:r>
      <w:r w:rsidR="00C128DB" w:rsidRPr="00176A31">
        <w:rPr>
          <w:color w:val="7030A0"/>
        </w:rPr>
        <w:t>(e</w:t>
      </w:r>
      <w:r w:rsidR="00636302" w:rsidRPr="00176A31">
        <w:rPr>
          <w:color w:val="7030A0"/>
        </w:rPr>
        <w:t>.g., 2013</w:t>
      </w:r>
      <w:r w:rsidR="00C128DB" w:rsidRPr="00176A31">
        <w:rPr>
          <w:color w:val="7030A0"/>
        </w:rPr>
        <w:t>–</w:t>
      </w:r>
      <w:r w:rsidR="00636302" w:rsidRPr="00176A31">
        <w:rPr>
          <w:color w:val="7030A0"/>
        </w:rPr>
        <w:t>2021</w:t>
      </w:r>
      <w:r w:rsidR="00C128DB" w:rsidRPr="00176A31">
        <w:rPr>
          <w:color w:val="7030A0"/>
        </w:rPr>
        <w:t>)</w:t>
      </w:r>
      <w:r w:rsidR="00636302" w:rsidRPr="00176A31">
        <w:rPr>
          <w:color w:val="7030A0"/>
        </w:rPr>
        <w:t>]</w:t>
      </w:r>
      <w:r w:rsidRPr="00640D01">
        <w:t xml:space="preserve">) and </w:t>
      </w:r>
      <w:r w:rsidR="00294919" w:rsidRPr="00640D01">
        <w:rPr>
          <w:color w:val="7030A0"/>
        </w:rPr>
        <w:fldChar w:fldCharType="begin"/>
      </w:r>
      <w:r w:rsidR="00294919" w:rsidRPr="00640D01">
        <w:instrText xml:space="preserve"> REF MOVES \h </w:instrText>
      </w:r>
      <w:r w:rsidR="00294919" w:rsidRPr="00640D01">
        <w:rPr>
          <w:color w:val="7030A0"/>
        </w:rPr>
      </w:r>
      <w:r w:rsidR="00294919" w:rsidRPr="00640D01">
        <w:rPr>
          <w:color w:val="7030A0"/>
        </w:rPr>
        <w:fldChar w:fldCharType="separate"/>
      </w:r>
      <w:sdt>
        <w:sdtPr>
          <w:rPr>
            <w:b/>
            <w:bCs/>
            <w:color w:val="C00000"/>
          </w:rPr>
          <w:id w:val="1338967413"/>
          <w:placeholder>
            <w:docPart w:val="ED342D2EB47A4DD2803A382AA6A48E71"/>
          </w:placeholder>
          <w:showingPlcHdr/>
          <w:dropDownList>
            <w:listItem w:value="Choose an item."/>
            <w:listItem w:displayText="MOVES3" w:value="MOVES3"/>
            <w:listItem w:displayText="MOVES4" w:value="MOVES4"/>
            <w:listItem w:displayText="MOVES5" w:value="MOVES5"/>
          </w:dropDownList>
        </w:sdtPr>
        <w:sdtContent>
          <w:r w:rsidR="00514311" w:rsidRPr="00640D01">
            <w:rPr>
              <w:b/>
              <w:bCs/>
              <w:color w:val="C00000"/>
            </w:rPr>
            <w:t>[MOVES version]</w:t>
          </w:r>
        </w:sdtContent>
      </w:sdt>
      <w:r w:rsidR="00294919" w:rsidRPr="00640D01">
        <w:rPr>
          <w:color w:val="7030A0"/>
        </w:rPr>
        <w:fldChar w:fldCharType="end"/>
      </w:r>
      <w:r w:rsidR="00D136A9" w:rsidRPr="00640D01">
        <w:rPr>
          <w:color w:val="7030A0"/>
        </w:rPr>
        <w:t xml:space="preserve"> </w:t>
      </w:r>
      <w:r w:rsidRPr="00640D01">
        <w:t xml:space="preserve">defaults, TTI estimated the time-of-day (AM </w:t>
      </w:r>
      <w:r w:rsidR="00C128DB" w:rsidRPr="00640D01">
        <w:t>peak</w:t>
      </w:r>
      <w:r w:rsidRPr="00640D01">
        <w:t xml:space="preserve">, </w:t>
      </w:r>
      <w:r w:rsidR="00C128DB" w:rsidRPr="00640D01">
        <w:t>midday</w:t>
      </w:r>
      <w:r w:rsidRPr="00640D01">
        <w:t xml:space="preserve">, PM </w:t>
      </w:r>
      <w:r w:rsidR="00C128DB" w:rsidRPr="00640D01">
        <w:t>peak</w:t>
      </w:r>
      <w:r w:rsidRPr="00640D01">
        <w:t xml:space="preserve">, </w:t>
      </w:r>
      <w:r w:rsidR="00C128DB" w:rsidRPr="00640D01">
        <w:t>and overnight</w:t>
      </w:r>
      <w:r w:rsidRPr="00640D01">
        <w:t xml:space="preserve">) VMT mixes by the four MOVES road types. No seasonal adjustments </w:t>
      </w:r>
      <w:r w:rsidR="00C128DB" w:rsidRPr="00640D01">
        <w:t xml:space="preserve">were </w:t>
      </w:r>
      <w:r w:rsidRPr="00640D01">
        <w:t xml:space="preserve">made for VMT mix. </w:t>
      </w:r>
      <w:r w:rsidR="00B230C5" w:rsidRPr="00640D01">
        <w:br w:type="page"/>
      </w:r>
    </w:p>
    <w:p w14:paraId="28FEE336" w14:textId="62FF12AF" w:rsidR="00E4791A" w:rsidRPr="00640D01" w:rsidRDefault="00E4791A" w:rsidP="00861F03">
      <w:pPr>
        <w:pStyle w:val="Heading1"/>
      </w:pPr>
      <w:bookmarkStart w:id="125" w:name="_Toc190242730"/>
      <w:r w:rsidRPr="00640D01">
        <w:lastRenderedPageBreak/>
        <w:t>Regional Emissions Determination</w:t>
      </w:r>
      <w:bookmarkEnd w:id="125"/>
    </w:p>
    <w:p w14:paraId="36753761" w14:textId="5293D2E3" w:rsidR="006E38D4" w:rsidRPr="00640D01" w:rsidRDefault="00684C90" w:rsidP="009D25C4">
      <w:pPr>
        <w:pStyle w:val="BodyText"/>
      </w:pPr>
      <w:r w:rsidRPr="00640D01">
        <w:t>T</w:t>
      </w:r>
      <w:r w:rsidR="006E38D4" w:rsidRPr="00640D01">
        <w:t xml:space="preserve">o report final emission analysis results, it is necessary to account for modeled </w:t>
      </w:r>
      <w:r w:rsidR="009D25C4" w:rsidRPr="00640D01">
        <w:t>link-</w:t>
      </w:r>
      <w:r w:rsidR="006E38D4" w:rsidRPr="00640D01">
        <w:t>level emission inventories, emission factor adjustments, and MoSERS emission benefits.</w:t>
      </w:r>
    </w:p>
    <w:p w14:paraId="0227F875" w14:textId="246CB9B4" w:rsidR="0011731C" w:rsidRPr="00640D01" w:rsidRDefault="00E4791A" w:rsidP="0011731C">
      <w:pPr>
        <w:pStyle w:val="Heading2"/>
      </w:pPr>
      <w:bookmarkStart w:id="126" w:name="_Toc190242731"/>
      <w:r w:rsidRPr="00640D01">
        <w:t>Modeled Emissions</w:t>
      </w:r>
      <w:bookmarkEnd w:id="126"/>
    </w:p>
    <w:p w14:paraId="09E06300" w14:textId="771512A2" w:rsidR="00EE3F46" w:rsidRPr="00640D01" w:rsidRDefault="00EE3F46" w:rsidP="00EE3F46">
      <w:pPr>
        <w:rPr>
          <w:rStyle w:val="BodyTextChar"/>
        </w:rPr>
      </w:pPr>
      <w:r w:rsidRPr="00640D01">
        <w:t xml:space="preserve">Check </w:t>
      </w:r>
      <w:r w:rsidR="00F6000F" w:rsidRPr="00640D01">
        <w:t>only one box</w:t>
      </w:r>
      <w:r w:rsidR="009D25C4" w:rsidRPr="00640D01">
        <w:t xml:space="preserve"> and</w:t>
      </w:r>
      <w:r w:rsidR="00F6000F" w:rsidRPr="00640D01">
        <w:t xml:space="preserve"> then populate </w:t>
      </w:r>
      <w:r w:rsidR="00514311">
        <w:t xml:space="preserve">Table 6-1 </w:t>
      </w:r>
      <w:r w:rsidR="00F6000F" w:rsidRPr="00640D01">
        <w:t xml:space="preserve">as </w:t>
      </w:r>
      <w:r w:rsidR="00F6000F" w:rsidRPr="00640D01">
        <w:rPr>
          <w:rStyle w:val="BodyTextChar"/>
        </w:rPr>
        <w:t>applicable.</w:t>
      </w:r>
    </w:p>
    <w:bookmarkStart w:id="127" w:name="_Ref190182648"/>
    <w:bookmarkStart w:id="128" w:name="_Toc190183131"/>
    <w:p w14:paraId="75C22885" w14:textId="67F98739" w:rsidR="00514311" w:rsidRDefault="00000000" w:rsidP="00514311">
      <w:pPr>
        <w:pStyle w:val="BodyTextBold"/>
      </w:pPr>
      <w:sdt>
        <w:sdtPr>
          <w:id w:val="-1705623167"/>
          <w14:checkbox>
            <w14:checked w14:val="0"/>
            <w14:checkedState w14:val="2612" w14:font="MS Gothic"/>
            <w14:uncheckedState w14:val="2610" w14:font="MS Gothic"/>
          </w14:checkbox>
        </w:sdtPr>
        <w:sdtContent>
          <w:r w:rsidR="00514311">
            <w:rPr>
              <w:rFonts w:ascii="MS Gothic" w:eastAsia="MS Gothic" w:hAnsi="MS Gothic" w:hint="eastAsia"/>
            </w:rPr>
            <w:t>☐</w:t>
          </w:r>
        </w:sdtContent>
      </w:sdt>
      <w:r w:rsidR="00EE3F46" w:rsidRPr="00640D01">
        <w:t xml:space="preserve"> </w:t>
      </w:r>
      <w:r w:rsidR="00514311">
        <w:t xml:space="preserve">Table </w:t>
      </w:r>
      <w:r w:rsidR="00514311">
        <w:fldChar w:fldCharType="begin"/>
      </w:r>
      <w:r w:rsidR="00514311">
        <w:instrText xml:space="preserve"> STYLEREF 1 \s </w:instrText>
      </w:r>
      <w:r w:rsidR="00514311">
        <w:fldChar w:fldCharType="separate"/>
      </w:r>
      <w:r w:rsidR="00514311">
        <w:rPr>
          <w:noProof/>
        </w:rPr>
        <w:t>6</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1</w:t>
      </w:r>
      <w:r w:rsidR="00514311">
        <w:fldChar w:fldCharType="end"/>
      </w:r>
      <w:bookmarkEnd w:id="127"/>
      <w:r w:rsidR="00514311">
        <w:t xml:space="preserve">. </w:t>
      </w:r>
      <w:r w:rsidR="00514311" w:rsidRPr="001F56E9">
        <w:t>For nonattainment or maintenance areas with adequate or approved SIP MVEB(s)</w:t>
      </w:r>
      <w:bookmarkEnd w:id="128"/>
    </w:p>
    <w:tbl>
      <w:tblPr>
        <w:tblStyle w:val="TableGrid"/>
        <w:tblW w:w="0" w:type="auto"/>
        <w:tblBorders>
          <w:left w:val="single" w:sz="4" w:space="0" w:color="FFFFFF" w:themeColor="background1"/>
          <w:right w:val="single" w:sz="4" w:space="0" w:color="FFFFFF" w:themeColor="background1"/>
        </w:tblBorders>
        <w:tblCellMar>
          <w:top w:w="29" w:type="dxa"/>
          <w:bottom w:w="29" w:type="dxa"/>
        </w:tblCellMar>
        <w:tblLook w:val="04A0" w:firstRow="1" w:lastRow="0" w:firstColumn="1" w:lastColumn="0" w:noHBand="0" w:noVBand="1"/>
      </w:tblPr>
      <w:tblGrid>
        <w:gridCol w:w="2362"/>
        <w:gridCol w:w="2114"/>
        <w:gridCol w:w="2437"/>
        <w:gridCol w:w="2437"/>
      </w:tblGrid>
      <w:tr w:rsidR="008D27E7" w:rsidRPr="00640D01" w14:paraId="3932AD4C" w14:textId="77777777" w:rsidTr="008D27E7">
        <w:trPr>
          <w:trHeight w:val="317"/>
        </w:trPr>
        <w:tc>
          <w:tcPr>
            <w:tcW w:w="2362" w:type="dxa"/>
            <w:tcBorders>
              <w:right w:val="single" w:sz="4" w:space="0" w:color="FFFFFF" w:themeColor="background1"/>
            </w:tcBorders>
            <w:shd w:val="clear" w:color="auto" w:fill="002060"/>
            <w:vAlign w:val="center"/>
          </w:tcPr>
          <w:p w14:paraId="6E7FDFDC" w14:textId="07AC0EC3" w:rsidR="008D27E7" w:rsidRPr="00640D01" w:rsidRDefault="008D27E7" w:rsidP="008D27E7">
            <w:pPr>
              <w:pStyle w:val="TableHeader"/>
            </w:pPr>
            <w:r w:rsidRPr="00640D01">
              <w:t>Analysis Year</w:t>
            </w:r>
          </w:p>
        </w:tc>
        <w:tc>
          <w:tcPr>
            <w:tcW w:w="2114" w:type="dxa"/>
            <w:tcBorders>
              <w:left w:val="single" w:sz="4" w:space="0" w:color="FFFFFF" w:themeColor="background1"/>
              <w:right w:val="single" w:sz="4" w:space="0" w:color="FFFFFF" w:themeColor="background1"/>
            </w:tcBorders>
            <w:shd w:val="clear" w:color="auto" w:fill="002060"/>
            <w:vAlign w:val="center"/>
          </w:tcPr>
          <w:p w14:paraId="6A5A4B80" w14:textId="064A41B3" w:rsidR="008D27E7" w:rsidRPr="00640D01" w:rsidRDefault="008D27E7" w:rsidP="008D27E7">
            <w:pPr>
              <w:pStyle w:val="TableHeader"/>
            </w:pPr>
            <w:r>
              <w:t>VMT</w:t>
            </w:r>
          </w:p>
        </w:tc>
        <w:tc>
          <w:tcPr>
            <w:tcW w:w="2437" w:type="dxa"/>
            <w:tcBorders>
              <w:left w:val="single" w:sz="4" w:space="0" w:color="FFFFFF" w:themeColor="background1"/>
              <w:right w:val="single" w:sz="4" w:space="0" w:color="FFFFFF" w:themeColor="background1"/>
            </w:tcBorders>
            <w:shd w:val="clear" w:color="auto" w:fill="002060"/>
            <w:vAlign w:val="center"/>
          </w:tcPr>
          <w:p w14:paraId="3ABBE7A5" w14:textId="437B4030" w:rsidR="008D27E7" w:rsidRPr="00640D01" w:rsidRDefault="008D27E7" w:rsidP="008D27E7">
            <w:pPr>
              <w:pStyle w:val="TableHeader"/>
            </w:pPr>
            <w:r w:rsidRPr="00640D01">
              <w:t>NOx (Tons/Day)</w:t>
            </w:r>
          </w:p>
        </w:tc>
        <w:tc>
          <w:tcPr>
            <w:tcW w:w="2437" w:type="dxa"/>
            <w:tcBorders>
              <w:left w:val="single" w:sz="4" w:space="0" w:color="FFFFFF" w:themeColor="background1"/>
            </w:tcBorders>
            <w:shd w:val="clear" w:color="auto" w:fill="002060"/>
            <w:vAlign w:val="center"/>
          </w:tcPr>
          <w:p w14:paraId="55B26DFF" w14:textId="5BDB736E" w:rsidR="008D27E7" w:rsidRPr="00640D01" w:rsidRDefault="008D27E7" w:rsidP="008D27E7">
            <w:pPr>
              <w:pStyle w:val="TableHeader"/>
            </w:pPr>
            <w:r w:rsidRPr="00640D01">
              <w:t>VOC (Tons/Day)</w:t>
            </w:r>
          </w:p>
        </w:tc>
      </w:tr>
      <w:tr w:rsidR="008D27E7" w:rsidRPr="00640D01" w14:paraId="632BA931" w14:textId="77777777" w:rsidTr="008D27E7">
        <w:trPr>
          <w:trHeight w:val="317"/>
        </w:trPr>
        <w:tc>
          <w:tcPr>
            <w:tcW w:w="2362" w:type="dxa"/>
            <w:vAlign w:val="center"/>
          </w:tcPr>
          <w:p w14:paraId="682F1865" w14:textId="3F2DBBE0" w:rsidR="008D27E7" w:rsidRPr="00640D01" w:rsidRDefault="008D27E7" w:rsidP="008D27E7">
            <w:pPr>
              <w:pStyle w:val="TableText"/>
            </w:pPr>
            <w:r>
              <w:t>MVEB</w:t>
            </w:r>
          </w:p>
        </w:tc>
        <w:tc>
          <w:tcPr>
            <w:tcW w:w="2114" w:type="dxa"/>
            <w:vAlign w:val="center"/>
          </w:tcPr>
          <w:p w14:paraId="5819504A" w14:textId="7C0E6767" w:rsidR="008D27E7" w:rsidRDefault="008D27E7" w:rsidP="008D27E7">
            <w:pPr>
              <w:pStyle w:val="TableText"/>
              <w:rPr>
                <w:color w:val="7030A0"/>
              </w:rPr>
            </w:pPr>
            <w:r w:rsidRPr="008D27E7">
              <w:t>N/A</w:t>
            </w:r>
          </w:p>
        </w:tc>
        <w:tc>
          <w:tcPr>
            <w:tcW w:w="2437" w:type="dxa"/>
            <w:vAlign w:val="center"/>
          </w:tcPr>
          <w:p w14:paraId="71C7C816" w14:textId="3A2FDFEC" w:rsidR="008D27E7" w:rsidRPr="008D27E7" w:rsidRDefault="008D27E7" w:rsidP="008D27E7">
            <w:pPr>
              <w:pStyle w:val="TableText"/>
              <w:rPr>
                <w:color w:val="7030A0"/>
              </w:rPr>
            </w:pPr>
            <w:r>
              <w:rPr>
                <w:color w:val="7030A0"/>
              </w:rPr>
              <w:t>[MVEB]</w:t>
            </w:r>
          </w:p>
        </w:tc>
        <w:tc>
          <w:tcPr>
            <w:tcW w:w="2437" w:type="dxa"/>
            <w:vAlign w:val="center"/>
          </w:tcPr>
          <w:p w14:paraId="1853D554" w14:textId="57F2AF8B" w:rsidR="008D27E7" w:rsidRPr="008D27E7" w:rsidRDefault="008D27E7" w:rsidP="008D27E7">
            <w:pPr>
              <w:pStyle w:val="TableText"/>
              <w:rPr>
                <w:color w:val="7030A0"/>
              </w:rPr>
            </w:pPr>
            <w:r>
              <w:rPr>
                <w:color w:val="7030A0"/>
              </w:rPr>
              <w:t>[MVEB]</w:t>
            </w:r>
          </w:p>
        </w:tc>
      </w:tr>
      <w:tr w:rsidR="008D27E7" w:rsidRPr="00640D01" w14:paraId="04A217CC" w14:textId="77777777" w:rsidTr="008D27E7">
        <w:trPr>
          <w:trHeight w:val="317"/>
        </w:trPr>
        <w:tc>
          <w:tcPr>
            <w:tcW w:w="2362" w:type="dxa"/>
            <w:vAlign w:val="center"/>
          </w:tcPr>
          <w:p w14:paraId="69E72C23" w14:textId="14453BB8" w:rsidR="008D27E7" w:rsidRPr="008D27E7" w:rsidRDefault="008D27E7" w:rsidP="008D27E7">
            <w:pPr>
              <w:pStyle w:val="TableText"/>
              <w:rPr>
                <w:color w:val="7030A0"/>
              </w:rPr>
            </w:pPr>
          </w:p>
        </w:tc>
        <w:tc>
          <w:tcPr>
            <w:tcW w:w="2114" w:type="dxa"/>
            <w:vAlign w:val="center"/>
          </w:tcPr>
          <w:p w14:paraId="1097DAC6" w14:textId="77777777" w:rsidR="008D27E7" w:rsidRPr="00640D01" w:rsidRDefault="008D27E7" w:rsidP="008D27E7">
            <w:pPr>
              <w:pStyle w:val="TableText"/>
            </w:pPr>
          </w:p>
        </w:tc>
        <w:tc>
          <w:tcPr>
            <w:tcW w:w="2437" w:type="dxa"/>
            <w:vAlign w:val="center"/>
          </w:tcPr>
          <w:p w14:paraId="64951D2B" w14:textId="5E2A1C98" w:rsidR="008D27E7" w:rsidRPr="00640D01" w:rsidRDefault="008D27E7" w:rsidP="008D27E7">
            <w:pPr>
              <w:pStyle w:val="TableText"/>
            </w:pPr>
          </w:p>
        </w:tc>
        <w:tc>
          <w:tcPr>
            <w:tcW w:w="2437" w:type="dxa"/>
            <w:vAlign w:val="center"/>
          </w:tcPr>
          <w:p w14:paraId="478CEE63" w14:textId="77777777" w:rsidR="008D27E7" w:rsidRPr="00640D01" w:rsidRDefault="008D27E7" w:rsidP="008D27E7">
            <w:pPr>
              <w:pStyle w:val="TableText"/>
            </w:pPr>
          </w:p>
        </w:tc>
      </w:tr>
      <w:tr w:rsidR="008D27E7" w:rsidRPr="00640D01" w14:paraId="3872E936" w14:textId="77777777" w:rsidTr="008D27E7">
        <w:trPr>
          <w:trHeight w:val="317"/>
        </w:trPr>
        <w:tc>
          <w:tcPr>
            <w:tcW w:w="2362" w:type="dxa"/>
            <w:vAlign w:val="center"/>
          </w:tcPr>
          <w:p w14:paraId="1D06A70D" w14:textId="3F10BB9D" w:rsidR="008D27E7" w:rsidRPr="008D27E7" w:rsidRDefault="008D27E7" w:rsidP="008D27E7">
            <w:pPr>
              <w:pStyle w:val="TableText"/>
              <w:rPr>
                <w:color w:val="7030A0"/>
              </w:rPr>
            </w:pPr>
          </w:p>
        </w:tc>
        <w:tc>
          <w:tcPr>
            <w:tcW w:w="2114" w:type="dxa"/>
            <w:vAlign w:val="center"/>
          </w:tcPr>
          <w:p w14:paraId="0CEF52A5" w14:textId="77777777" w:rsidR="008D27E7" w:rsidRPr="00640D01" w:rsidRDefault="008D27E7" w:rsidP="008D27E7">
            <w:pPr>
              <w:pStyle w:val="TableText"/>
            </w:pPr>
          </w:p>
        </w:tc>
        <w:tc>
          <w:tcPr>
            <w:tcW w:w="2437" w:type="dxa"/>
            <w:vAlign w:val="center"/>
          </w:tcPr>
          <w:p w14:paraId="234366EE" w14:textId="2CB09275" w:rsidR="008D27E7" w:rsidRPr="00640D01" w:rsidRDefault="008D27E7" w:rsidP="008D27E7">
            <w:pPr>
              <w:pStyle w:val="TableText"/>
            </w:pPr>
          </w:p>
        </w:tc>
        <w:tc>
          <w:tcPr>
            <w:tcW w:w="2437" w:type="dxa"/>
            <w:vAlign w:val="center"/>
          </w:tcPr>
          <w:p w14:paraId="6BD07DB1" w14:textId="77777777" w:rsidR="008D27E7" w:rsidRPr="00640D01" w:rsidRDefault="008D27E7" w:rsidP="008D27E7">
            <w:pPr>
              <w:pStyle w:val="TableText"/>
            </w:pPr>
          </w:p>
        </w:tc>
      </w:tr>
      <w:tr w:rsidR="008D27E7" w:rsidRPr="00640D01" w14:paraId="13AC6339" w14:textId="77777777" w:rsidTr="008D27E7">
        <w:trPr>
          <w:trHeight w:val="317"/>
        </w:trPr>
        <w:tc>
          <w:tcPr>
            <w:tcW w:w="2362" w:type="dxa"/>
            <w:vAlign w:val="center"/>
          </w:tcPr>
          <w:p w14:paraId="2B69847A" w14:textId="7FFA5198" w:rsidR="008D27E7" w:rsidRPr="008D27E7" w:rsidRDefault="008D27E7" w:rsidP="008D27E7">
            <w:pPr>
              <w:pStyle w:val="TableText"/>
              <w:rPr>
                <w:color w:val="7030A0"/>
              </w:rPr>
            </w:pPr>
          </w:p>
        </w:tc>
        <w:tc>
          <w:tcPr>
            <w:tcW w:w="2114" w:type="dxa"/>
            <w:vAlign w:val="center"/>
          </w:tcPr>
          <w:p w14:paraId="0E1DB579" w14:textId="77777777" w:rsidR="008D27E7" w:rsidRPr="00640D01" w:rsidRDefault="008D27E7" w:rsidP="008D27E7">
            <w:pPr>
              <w:pStyle w:val="TableText"/>
            </w:pPr>
          </w:p>
        </w:tc>
        <w:tc>
          <w:tcPr>
            <w:tcW w:w="2437" w:type="dxa"/>
            <w:vAlign w:val="center"/>
          </w:tcPr>
          <w:p w14:paraId="0A0BF738" w14:textId="54424A00" w:rsidR="008D27E7" w:rsidRPr="00640D01" w:rsidRDefault="008D27E7" w:rsidP="008D27E7">
            <w:pPr>
              <w:pStyle w:val="TableText"/>
            </w:pPr>
          </w:p>
        </w:tc>
        <w:tc>
          <w:tcPr>
            <w:tcW w:w="2437" w:type="dxa"/>
            <w:vAlign w:val="center"/>
          </w:tcPr>
          <w:p w14:paraId="0817C9FB" w14:textId="77777777" w:rsidR="008D27E7" w:rsidRPr="00640D01" w:rsidRDefault="008D27E7" w:rsidP="008D27E7">
            <w:pPr>
              <w:pStyle w:val="TableText"/>
            </w:pPr>
          </w:p>
        </w:tc>
      </w:tr>
      <w:tr w:rsidR="008D27E7" w:rsidRPr="00640D01" w14:paraId="17D58276" w14:textId="77777777" w:rsidTr="008D27E7">
        <w:trPr>
          <w:trHeight w:val="317"/>
        </w:trPr>
        <w:tc>
          <w:tcPr>
            <w:tcW w:w="2362" w:type="dxa"/>
            <w:vAlign w:val="center"/>
          </w:tcPr>
          <w:p w14:paraId="57674EA8" w14:textId="41193313" w:rsidR="008D27E7" w:rsidRPr="008D27E7" w:rsidRDefault="008D27E7" w:rsidP="008D27E7">
            <w:pPr>
              <w:pStyle w:val="TableText"/>
              <w:rPr>
                <w:color w:val="7030A0"/>
              </w:rPr>
            </w:pPr>
          </w:p>
        </w:tc>
        <w:tc>
          <w:tcPr>
            <w:tcW w:w="2114" w:type="dxa"/>
            <w:vAlign w:val="center"/>
          </w:tcPr>
          <w:p w14:paraId="19E29AFB" w14:textId="77777777" w:rsidR="008D27E7" w:rsidRPr="00640D01" w:rsidRDefault="008D27E7" w:rsidP="008D27E7">
            <w:pPr>
              <w:pStyle w:val="TableText"/>
            </w:pPr>
          </w:p>
        </w:tc>
        <w:tc>
          <w:tcPr>
            <w:tcW w:w="2437" w:type="dxa"/>
            <w:vAlign w:val="center"/>
          </w:tcPr>
          <w:p w14:paraId="314171C7" w14:textId="24C7A3C6" w:rsidR="008D27E7" w:rsidRPr="00640D01" w:rsidRDefault="008D27E7" w:rsidP="008D27E7">
            <w:pPr>
              <w:pStyle w:val="TableText"/>
            </w:pPr>
          </w:p>
        </w:tc>
        <w:tc>
          <w:tcPr>
            <w:tcW w:w="2437" w:type="dxa"/>
            <w:vAlign w:val="center"/>
          </w:tcPr>
          <w:p w14:paraId="36B6A49A" w14:textId="77777777" w:rsidR="008D27E7" w:rsidRPr="00640D01" w:rsidRDefault="008D27E7" w:rsidP="008D27E7">
            <w:pPr>
              <w:pStyle w:val="TableText"/>
            </w:pPr>
          </w:p>
        </w:tc>
      </w:tr>
    </w:tbl>
    <w:p w14:paraId="39C0CD10" w14:textId="77777777" w:rsidR="00EE3F46" w:rsidRPr="00640D01" w:rsidRDefault="00EE3F46" w:rsidP="00176A31">
      <w:pPr>
        <w:spacing w:after="0" w:line="240" w:lineRule="auto"/>
      </w:pPr>
    </w:p>
    <w:p w14:paraId="6634E558" w14:textId="4CC00087" w:rsidR="006935D8" w:rsidRPr="00640D01" w:rsidRDefault="00000000" w:rsidP="009D25C4">
      <w:pPr>
        <w:pStyle w:val="BodyTextBold"/>
      </w:pPr>
      <w:sdt>
        <w:sdtPr>
          <w:id w:val="167686938"/>
          <w14:checkbox>
            <w14:checked w14:val="0"/>
            <w14:checkedState w14:val="2612" w14:font="MS Gothic"/>
            <w14:uncheckedState w14:val="2610" w14:font="MS Gothic"/>
          </w14:checkbox>
        </w:sdtPr>
        <w:sdtContent>
          <w:r w:rsidR="00EE3F46" w:rsidRPr="00640D01">
            <w:rPr>
              <w:rFonts w:ascii="MS Gothic" w:eastAsia="MS Gothic" w:hAnsi="MS Gothic"/>
            </w:rPr>
            <w:t>☐</w:t>
          </w:r>
        </w:sdtContent>
      </w:sdt>
      <w:r w:rsidR="00EE3F46" w:rsidRPr="00640D01">
        <w:t xml:space="preserve"> </w:t>
      </w:r>
      <w:r w:rsidR="00514311">
        <w:t xml:space="preserve">Table 6-1. </w:t>
      </w:r>
      <w:r w:rsidR="00EE3F46" w:rsidRPr="00640D01">
        <w:t>For moderate and above ozone nonattainment areas without an adequate or approved SIP MVEB(s)</w:t>
      </w:r>
    </w:p>
    <w:tbl>
      <w:tblPr>
        <w:tblStyle w:val="TableGrid"/>
        <w:tblW w:w="5000" w:type="pct"/>
        <w:tblBorders>
          <w:left w:val="single" w:sz="4" w:space="0" w:color="FFFFFF" w:themeColor="background1"/>
          <w:right w:val="single" w:sz="4" w:space="0" w:color="FFFFFF" w:themeColor="background1"/>
        </w:tblBorders>
        <w:tblCellMar>
          <w:top w:w="29" w:type="dxa"/>
          <w:bottom w:w="29" w:type="dxa"/>
        </w:tblCellMar>
        <w:tblLook w:val="04A0" w:firstRow="1" w:lastRow="0" w:firstColumn="1" w:lastColumn="0" w:noHBand="0" w:noVBand="1"/>
      </w:tblPr>
      <w:tblGrid>
        <w:gridCol w:w="1338"/>
        <w:gridCol w:w="1602"/>
        <w:gridCol w:w="1603"/>
        <w:gridCol w:w="1603"/>
        <w:gridCol w:w="1603"/>
        <w:gridCol w:w="1601"/>
      </w:tblGrid>
      <w:tr w:rsidR="008D27E7" w:rsidRPr="00640D01" w14:paraId="654072F0" w14:textId="77777777" w:rsidTr="008D27E7">
        <w:tc>
          <w:tcPr>
            <w:tcW w:w="716" w:type="pct"/>
            <w:tcBorders>
              <w:right w:val="single" w:sz="4" w:space="0" w:color="FFFFFF" w:themeColor="background1"/>
            </w:tcBorders>
            <w:shd w:val="clear" w:color="auto" w:fill="002060"/>
            <w:vAlign w:val="center"/>
          </w:tcPr>
          <w:p w14:paraId="217856CB" w14:textId="77777777" w:rsidR="008D27E7" w:rsidRPr="00640D01" w:rsidRDefault="008D27E7" w:rsidP="008D27E7">
            <w:pPr>
              <w:pStyle w:val="TableHeader"/>
            </w:pPr>
            <w:r w:rsidRPr="00640D01">
              <w:t>Analysis Year</w:t>
            </w:r>
          </w:p>
        </w:tc>
        <w:tc>
          <w:tcPr>
            <w:tcW w:w="857" w:type="pct"/>
            <w:tcBorders>
              <w:left w:val="single" w:sz="4" w:space="0" w:color="FFFFFF" w:themeColor="background1"/>
              <w:right w:val="single" w:sz="4" w:space="0" w:color="FFFFFF" w:themeColor="background1"/>
            </w:tcBorders>
            <w:shd w:val="clear" w:color="auto" w:fill="002060"/>
            <w:vAlign w:val="center"/>
          </w:tcPr>
          <w:p w14:paraId="163F8A58" w14:textId="42E403DB" w:rsidR="008D27E7" w:rsidRPr="00640D01" w:rsidRDefault="008D27E7" w:rsidP="008D27E7">
            <w:pPr>
              <w:pStyle w:val="TableHeader"/>
            </w:pPr>
            <w:r>
              <w:t>VMT</w:t>
            </w:r>
          </w:p>
        </w:tc>
        <w:tc>
          <w:tcPr>
            <w:tcW w:w="857" w:type="pct"/>
            <w:tcBorders>
              <w:left w:val="single" w:sz="4" w:space="0" w:color="FFFFFF" w:themeColor="background1"/>
              <w:right w:val="single" w:sz="4" w:space="0" w:color="FFFFFF" w:themeColor="background1"/>
            </w:tcBorders>
            <w:shd w:val="clear" w:color="auto" w:fill="002060"/>
            <w:vAlign w:val="center"/>
          </w:tcPr>
          <w:p w14:paraId="20A67D38" w14:textId="136B4B97" w:rsidR="008D27E7" w:rsidRPr="00640D01" w:rsidRDefault="008D27E7" w:rsidP="008D27E7">
            <w:pPr>
              <w:pStyle w:val="TableHeader"/>
            </w:pPr>
            <w:r w:rsidRPr="00640D01">
              <w:t>NOx Build (Action) (Tons/Day)</w:t>
            </w:r>
          </w:p>
        </w:tc>
        <w:tc>
          <w:tcPr>
            <w:tcW w:w="857" w:type="pct"/>
            <w:tcBorders>
              <w:left w:val="single" w:sz="4" w:space="0" w:color="FFFFFF" w:themeColor="background1"/>
              <w:right w:val="single" w:sz="4" w:space="0" w:color="FFFFFF" w:themeColor="background1"/>
            </w:tcBorders>
            <w:shd w:val="clear" w:color="auto" w:fill="002060"/>
            <w:vAlign w:val="center"/>
          </w:tcPr>
          <w:p w14:paraId="45E92D57" w14:textId="2F8C9685" w:rsidR="008D27E7" w:rsidRPr="00640D01" w:rsidRDefault="008D27E7" w:rsidP="008D27E7">
            <w:pPr>
              <w:pStyle w:val="TableHeader"/>
            </w:pPr>
            <w:r w:rsidRPr="00640D01">
              <w:t>VOC Build (Action) (Tons/Day)</w:t>
            </w:r>
          </w:p>
        </w:tc>
        <w:tc>
          <w:tcPr>
            <w:tcW w:w="857" w:type="pct"/>
            <w:tcBorders>
              <w:left w:val="single" w:sz="4" w:space="0" w:color="FFFFFF" w:themeColor="background1"/>
              <w:right w:val="single" w:sz="4" w:space="0" w:color="FFFFFF" w:themeColor="background1"/>
            </w:tcBorders>
            <w:shd w:val="clear" w:color="auto" w:fill="002060"/>
            <w:vAlign w:val="center"/>
          </w:tcPr>
          <w:p w14:paraId="23734858" w14:textId="5D2A2C9F" w:rsidR="008D27E7" w:rsidRPr="00640D01" w:rsidRDefault="008D27E7" w:rsidP="008D27E7">
            <w:pPr>
              <w:pStyle w:val="TableHeader"/>
            </w:pPr>
            <w:r w:rsidRPr="00640D01">
              <w:t>NOx No-Build (Baseline) (Tons/Day)</w:t>
            </w:r>
          </w:p>
        </w:tc>
        <w:tc>
          <w:tcPr>
            <w:tcW w:w="857" w:type="pct"/>
            <w:tcBorders>
              <w:left w:val="single" w:sz="4" w:space="0" w:color="FFFFFF" w:themeColor="background1"/>
            </w:tcBorders>
            <w:shd w:val="clear" w:color="auto" w:fill="002060"/>
            <w:vAlign w:val="center"/>
          </w:tcPr>
          <w:p w14:paraId="2E1E8E28" w14:textId="26521F77" w:rsidR="008D27E7" w:rsidRPr="00640D01" w:rsidRDefault="008D27E7" w:rsidP="008D27E7">
            <w:pPr>
              <w:pStyle w:val="TableHeader"/>
            </w:pPr>
            <w:r w:rsidRPr="00640D01">
              <w:t>VOC No-Build (Baseline) (Tons/Day)</w:t>
            </w:r>
          </w:p>
        </w:tc>
      </w:tr>
      <w:tr w:rsidR="008D27E7" w:rsidRPr="00640D01" w14:paraId="2E0FB482" w14:textId="77777777" w:rsidTr="008D27E7">
        <w:tc>
          <w:tcPr>
            <w:tcW w:w="716" w:type="pct"/>
            <w:vAlign w:val="center"/>
          </w:tcPr>
          <w:p w14:paraId="74865C4B" w14:textId="77777777" w:rsidR="008D27E7" w:rsidRPr="00640D01" w:rsidRDefault="008D27E7" w:rsidP="009D25C4">
            <w:pPr>
              <w:pStyle w:val="TableText"/>
            </w:pPr>
          </w:p>
        </w:tc>
        <w:tc>
          <w:tcPr>
            <w:tcW w:w="857" w:type="pct"/>
          </w:tcPr>
          <w:p w14:paraId="21EE58BC" w14:textId="77777777" w:rsidR="008D27E7" w:rsidRPr="00640D01" w:rsidRDefault="008D27E7" w:rsidP="009D25C4">
            <w:pPr>
              <w:pStyle w:val="TableText"/>
            </w:pPr>
          </w:p>
        </w:tc>
        <w:tc>
          <w:tcPr>
            <w:tcW w:w="857" w:type="pct"/>
            <w:vAlign w:val="center"/>
          </w:tcPr>
          <w:p w14:paraId="618F93CB" w14:textId="1EAB0512" w:rsidR="008D27E7" w:rsidRPr="00640D01" w:rsidRDefault="008D27E7" w:rsidP="009D25C4">
            <w:pPr>
              <w:pStyle w:val="TableText"/>
            </w:pPr>
          </w:p>
        </w:tc>
        <w:tc>
          <w:tcPr>
            <w:tcW w:w="857" w:type="pct"/>
            <w:vAlign w:val="center"/>
          </w:tcPr>
          <w:p w14:paraId="7A809A44" w14:textId="77777777" w:rsidR="008D27E7" w:rsidRPr="00640D01" w:rsidRDefault="008D27E7" w:rsidP="009D25C4">
            <w:pPr>
              <w:pStyle w:val="TableText"/>
            </w:pPr>
          </w:p>
        </w:tc>
        <w:tc>
          <w:tcPr>
            <w:tcW w:w="857" w:type="pct"/>
            <w:vAlign w:val="center"/>
          </w:tcPr>
          <w:p w14:paraId="26E21381" w14:textId="31D95AE4" w:rsidR="008D27E7" w:rsidRPr="00640D01" w:rsidRDefault="008D27E7" w:rsidP="009D25C4">
            <w:pPr>
              <w:pStyle w:val="TableText"/>
            </w:pPr>
          </w:p>
        </w:tc>
        <w:tc>
          <w:tcPr>
            <w:tcW w:w="857" w:type="pct"/>
            <w:vAlign w:val="center"/>
          </w:tcPr>
          <w:p w14:paraId="5C25B7F9" w14:textId="436F7B82" w:rsidR="008D27E7" w:rsidRPr="00640D01" w:rsidRDefault="008D27E7" w:rsidP="009D25C4">
            <w:pPr>
              <w:pStyle w:val="TableText"/>
            </w:pPr>
          </w:p>
        </w:tc>
      </w:tr>
      <w:tr w:rsidR="008D27E7" w:rsidRPr="00640D01" w14:paraId="37A69DA7" w14:textId="77777777" w:rsidTr="008D27E7">
        <w:tc>
          <w:tcPr>
            <w:tcW w:w="716" w:type="pct"/>
            <w:vAlign w:val="center"/>
          </w:tcPr>
          <w:p w14:paraId="2B8CAC08" w14:textId="77777777" w:rsidR="008D27E7" w:rsidRPr="00640D01" w:rsidRDefault="008D27E7" w:rsidP="009D25C4">
            <w:pPr>
              <w:pStyle w:val="TableText"/>
            </w:pPr>
          </w:p>
        </w:tc>
        <w:tc>
          <w:tcPr>
            <w:tcW w:w="857" w:type="pct"/>
          </w:tcPr>
          <w:p w14:paraId="503DD5D0" w14:textId="77777777" w:rsidR="008D27E7" w:rsidRPr="00640D01" w:rsidRDefault="008D27E7" w:rsidP="009D25C4">
            <w:pPr>
              <w:pStyle w:val="TableText"/>
            </w:pPr>
          </w:p>
        </w:tc>
        <w:tc>
          <w:tcPr>
            <w:tcW w:w="857" w:type="pct"/>
            <w:vAlign w:val="center"/>
          </w:tcPr>
          <w:p w14:paraId="4EB0695A" w14:textId="4FCEEBED" w:rsidR="008D27E7" w:rsidRPr="00640D01" w:rsidRDefault="008D27E7" w:rsidP="009D25C4">
            <w:pPr>
              <w:pStyle w:val="TableText"/>
            </w:pPr>
          </w:p>
        </w:tc>
        <w:tc>
          <w:tcPr>
            <w:tcW w:w="857" w:type="pct"/>
            <w:vAlign w:val="center"/>
          </w:tcPr>
          <w:p w14:paraId="3DEFCE58" w14:textId="77777777" w:rsidR="008D27E7" w:rsidRPr="00640D01" w:rsidRDefault="008D27E7" w:rsidP="009D25C4">
            <w:pPr>
              <w:pStyle w:val="TableText"/>
            </w:pPr>
          </w:p>
        </w:tc>
        <w:tc>
          <w:tcPr>
            <w:tcW w:w="857" w:type="pct"/>
            <w:vAlign w:val="center"/>
          </w:tcPr>
          <w:p w14:paraId="4689C597" w14:textId="7A5F87F5" w:rsidR="008D27E7" w:rsidRPr="00640D01" w:rsidRDefault="008D27E7" w:rsidP="009D25C4">
            <w:pPr>
              <w:pStyle w:val="TableText"/>
            </w:pPr>
          </w:p>
        </w:tc>
        <w:tc>
          <w:tcPr>
            <w:tcW w:w="857" w:type="pct"/>
            <w:vAlign w:val="center"/>
          </w:tcPr>
          <w:p w14:paraId="60C66F3F" w14:textId="793021B3" w:rsidR="008D27E7" w:rsidRPr="00640D01" w:rsidRDefault="008D27E7" w:rsidP="009D25C4">
            <w:pPr>
              <w:pStyle w:val="TableText"/>
            </w:pPr>
          </w:p>
        </w:tc>
      </w:tr>
      <w:tr w:rsidR="008D27E7" w:rsidRPr="00640D01" w14:paraId="16701242" w14:textId="77777777" w:rsidTr="008D27E7">
        <w:tc>
          <w:tcPr>
            <w:tcW w:w="716" w:type="pct"/>
            <w:vAlign w:val="center"/>
          </w:tcPr>
          <w:p w14:paraId="0DFADA60" w14:textId="77777777" w:rsidR="008D27E7" w:rsidRPr="00640D01" w:rsidRDefault="008D27E7" w:rsidP="009D25C4">
            <w:pPr>
              <w:pStyle w:val="TableText"/>
            </w:pPr>
          </w:p>
        </w:tc>
        <w:tc>
          <w:tcPr>
            <w:tcW w:w="857" w:type="pct"/>
          </w:tcPr>
          <w:p w14:paraId="152C6904" w14:textId="77777777" w:rsidR="008D27E7" w:rsidRPr="00640D01" w:rsidRDefault="008D27E7" w:rsidP="009D25C4">
            <w:pPr>
              <w:pStyle w:val="TableText"/>
            </w:pPr>
          </w:p>
        </w:tc>
        <w:tc>
          <w:tcPr>
            <w:tcW w:w="857" w:type="pct"/>
            <w:vAlign w:val="center"/>
          </w:tcPr>
          <w:p w14:paraId="6B984C05" w14:textId="6F4069EC" w:rsidR="008D27E7" w:rsidRPr="00640D01" w:rsidRDefault="008D27E7" w:rsidP="009D25C4">
            <w:pPr>
              <w:pStyle w:val="TableText"/>
            </w:pPr>
          </w:p>
        </w:tc>
        <w:tc>
          <w:tcPr>
            <w:tcW w:w="857" w:type="pct"/>
            <w:vAlign w:val="center"/>
          </w:tcPr>
          <w:p w14:paraId="3669C8F3" w14:textId="77777777" w:rsidR="008D27E7" w:rsidRPr="00640D01" w:rsidRDefault="008D27E7" w:rsidP="009D25C4">
            <w:pPr>
              <w:pStyle w:val="TableText"/>
            </w:pPr>
          </w:p>
        </w:tc>
        <w:tc>
          <w:tcPr>
            <w:tcW w:w="857" w:type="pct"/>
            <w:vAlign w:val="center"/>
          </w:tcPr>
          <w:p w14:paraId="2C93E5AC" w14:textId="6DD5995F" w:rsidR="008D27E7" w:rsidRPr="00640D01" w:rsidRDefault="008D27E7" w:rsidP="009D25C4">
            <w:pPr>
              <w:pStyle w:val="TableText"/>
            </w:pPr>
          </w:p>
        </w:tc>
        <w:tc>
          <w:tcPr>
            <w:tcW w:w="857" w:type="pct"/>
            <w:vAlign w:val="center"/>
          </w:tcPr>
          <w:p w14:paraId="4CA95008" w14:textId="601F51D9" w:rsidR="008D27E7" w:rsidRPr="00640D01" w:rsidRDefault="008D27E7" w:rsidP="009D25C4">
            <w:pPr>
              <w:pStyle w:val="TableText"/>
            </w:pPr>
          </w:p>
        </w:tc>
      </w:tr>
      <w:tr w:rsidR="008D27E7" w:rsidRPr="00640D01" w14:paraId="4CD6D7F9" w14:textId="77777777" w:rsidTr="008D27E7">
        <w:tc>
          <w:tcPr>
            <w:tcW w:w="716" w:type="pct"/>
            <w:vAlign w:val="center"/>
          </w:tcPr>
          <w:p w14:paraId="64792F2A" w14:textId="77777777" w:rsidR="008D27E7" w:rsidRPr="00640D01" w:rsidRDefault="008D27E7" w:rsidP="009D25C4">
            <w:pPr>
              <w:pStyle w:val="TableText"/>
            </w:pPr>
          </w:p>
        </w:tc>
        <w:tc>
          <w:tcPr>
            <w:tcW w:w="857" w:type="pct"/>
          </w:tcPr>
          <w:p w14:paraId="285A4D04" w14:textId="77777777" w:rsidR="008D27E7" w:rsidRPr="00640D01" w:rsidRDefault="008D27E7" w:rsidP="009D25C4">
            <w:pPr>
              <w:pStyle w:val="TableText"/>
            </w:pPr>
          </w:p>
        </w:tc>
        <w:tc>
          <w:tcPr>
            <w:tcW w:w="857" w:type="pct"/>
            <w:vAlign w:val="center"/>
          </w:tcPr>
          <w:p w14:paraId="18133926" w14:textId="63C56FAE" w:rsidR="008D27E7" w:rsidRPr="00640D01" w:rsidRDefault="008D27E7" w:rsidP="009D25C4">
            <w:pPr>
              <w:pStyle w:val="TableText"/>
            </w:pPr>
          </w:p>
        </w:tc>
        <w:tc>
          <w:tcPr>
            <w:tcW w:w="857" w:type="pct"/>
            <w:vAlign w:val="center"/>
          </w:tcPr>
          <w:p w14:paraId="598F5855" w14:textId="77777777" w:rsidR="008D27E7" w:rsidRPr="00640D01" w:rsidRDefault="008D27E7" w:rsidP="009D25C4">
            <w:pPr>
              <w:pStyle w:val="TableText"/>
            </w:pPr>
          </w:p>
        </w:tc>
        <w:tc>
          <w:tcPr>
            <w:tcW w:w="857" w:type="pct"/>
            <w:vAlign w:val="center"/>
          </w:tcPr>
          <w:p w14:paraId="6373B729" w14:textId="5A96783B" w:rsidR="008D27E7" w:rsidRPr="00640D01" w:rsidRDefault="008D27E7" w:rsidP="009D25C4">
            <w:pPr>
              <w:pStyle w:val="TableText"/>
            </w:pPr>
          </w:p>
        </w:tc>
        <w:tc>
          <w:tcPr>
            <w:tcW w:w="857" w:type="pct"/>
            <w:vAlign w:val="center"/>
          </w:tcPr>
          <w:p w14:paraId="348426F2" w14:textId="13634C53" w:rsidR="008D27E7" w:rsidRPr="00640D01" w:rsidRDefault="008D27E7" w:rsidP="009D25C4">
            <w:pPr>
              <w:pStyle w:val="TableText"/>
            </w:pPr>
          </w:p>
        </w:tc>
      </w:tr>
    </w:tbl>
    <w:p w14:paraId="5D2D03BD" w14:textId="77777777" w:rsidR="0011731C" w:rsidRPr="00640D01" w:rsidRDefault="00E4791A" w:rsidP="009D25C4">
      <w:pPr>
        <w:pStyle w:val="Heading2"/>
        <w:spacing w:before="240"/>
      </w:pPr>
      <w:bookmarkStart w:id="129" w:name="_Toc190242732"/>
      <w:r w:rsidRPr="00640D01">
        <w:t>Impacts from Adjustments and MOSERS</w:t>
      </w:r>
      <w:bookmarkEnd w:id="129"/>
    </w:p>
    <w:p w14:paraId="5BB506E2" w14:textId="77777777" w:rsidR="006D5145" w:rsidRPr="00640D01" w:rsidRDefault="00E4791A" w:rsidP="006D5145">
      <w:pPr>
        <w:pStyle w:val="Heading3"/>
      </w:pPr>
      <w:bookmarkStart w:id="130" w:name="_Toc190242733"/>
      <w:r w:rsidRPr="00640D01">
        <w:t>Adjustments to Emission Factors</w:t>
      </w:r>
      <w:bookmarkEnd w:id="130"/>
    </w:p>
    <w:p w14:paraId="0D4A448D" w14:textId="12AA6380" w:rsidR="006D5145" w:rsidRPr="00640D01" w:rsidRDefault="006D5145" w:rsidP="009D25C4">
      <w:pPr>
        <w:pStyle w:val="BodyText"/>
      </w:pPr>
      <w:r w:rsidRPr="00640D01">
        <w:t xml:space="preserve">Post-processing adjustments are applied to the emission factor post-process utility developed by TTI. These adjustments are applied either </w:t>
      </w:r>
      <w:r w:rsidR="00684C90" w:rsidRPr="00640D01">
        <w:t>before</w:t>
      </w:r>
      <w:r w:rsidRPr="00640D01">
        <w:t xml:space="preserve"> or simultaneously with the emission calculation procedures to establish the model results.</w:t>
      </w:r>
      <w:r w:rsidR="005A0A59" w:rsidRPr="00640D01">
        <w:t xml:space="preserve"> This process is listed in </w:t>
      </w:r>
      <w:r w:rsidR="00A96EF8" w:rsidRPr="00640D01">
        <w:t>Chapter 5</w:t>
      </w:r>
      <w:r w:rsidR="005A0A59" w:rsidRPr="00640D01">
        <w:t>.</w:t>
      </w:r>
    </w:p>
    <w:p w14:paraId="2C1BA427" w14:textId="40105C6D" w:rsidR="005A0A59" w:rsidRPr="00640D01" w:rsidRDefault="00E4791A" w:rsidP="005A0A59">
      <w:pPr>
        <w:pStyle w:val="Heading3"/>
      </w:pPr>
      <w:bookmarkStart w:id="131" w:name="_Toc190242734"/>
      <w:r w:rsidRPr="00640D01">
        <w:t>M</w:t>
      </w:r>
      <w:r w:rsidR="009355CB" w:rsidRPr="00640D01">
        <w:t>o</w:t>
      </w:r>
      <w:r w:rsidRPr="00640D01">
        <w:t>SERS Projects</w:t>
      </w:r>
      <w:bookmarkEnd w:id="131"/>
    </w:p>
    <w:p w14:paraId="1F3CC7DD" w14:textId="3F2782BB" w:rsidR="003E0210" w:rsidRPr="00640D01" w:rsidRDefault="00042258" w:rsidP="009D25C4">
      <w:pPr>
        <w:pStyle w:val="BodyText"/>
      </w:pPr>
      <w:r w:rsidRPr="00640D01">
        <w:t xml:space="preserve">MoSERS </w:t>
      </w:r>
      <w:r w:rsidR="00684C90" w:rsidRPr="00640D01">
        <w:t>is</w:t>
      </w:r>
      <w:r w:rsidRPr="00640D01">
        <w:t xml:space="preserve"> a collection of transportation projects or related activities with identifiable emission reduction benefits. To meet </w:t>
      </w:r>
      <w:r w:rsidR="00684C90" w:rsidRPr="00640D01">
        <w:t xml:space="preserve">the </w:t>
      </w:r>
      <w:r w:rsidRPr="00640D01">
        <w:t xml:space="preserve">requirements of the SIP, nonattainment areas may make specific commitments in their SIP to implement MoSERS, called TCMs. Finally, a nonattainment area may include </w:t>
      </w:r>
      <w:r w:rsidR="00BE620D" w:rsidRPr="00640D01">
        <w:t xml:space="preserve">transportation emission reduction measures </w:t>
      </w:r>
      <w:r w:rsidRPr="00640D01">
        <w:t xml:space="preserve">(TERMs) in transportation conformity analysis that are outside of commitments in </w:t>
      </w:r>
      <w:r w:rsidR="00BE620D" w:rsidRPr="00640D01">
        <w:t xml:space="preserve">its </w:t>
      </w:r>
      <w:r w:rsidRPr="00640D01">
        <w:t>SIP.</w:t>
      </w:r>
    </w:p>
    <w:p w14:paraId="76892764" w14:textId="02BE94B8" w:rsidR="001D6883" w:rsidRPr="00640D01" w:rsidRDefault="008251B3" w:rsidP="008251B3">
      <w:pPr>
        <w:pStyle w:val="Heading4"/>
      </w:pPr>
      <w:bookmarkStart w:id="132" w:name="_Ref159507434"/>
      <w:r w:rsidRPr="00640D01">
        <w:lastRenderedPageBreak/>
        <w:t>TCM</w:t>
      </w:r>
      <w:bookmarkEnd w:id="132"/>
    </w:p>
    <w:p w14:paraId="31326FB6" w14:textId="48FA1427" w:rsidR="00F70B38" w:rsidRPr="00640D01" w:rsidRDefault="00F70B38" w:rsidP="009D25C4">
      <w:pPr>
        <w:pStyle w:val="BodyText"/>
      </w:pPr>
      <w:r w:rsidRPr="00640D01">
        <w:t xml:space="preserve">TCMs are projects, programs, and related activities designed to achieve on-road mobile source emission reductions and are included as control measures in an applicable SIP. TCMs are strategies to reduce vehicle use or change traffic flow and/or congestion conditions to decrease vehicular emissions. TCMs are further defined in 40 CFR 93.101, as amended by </w:t>
      </w:r>
      <w:r w:rsidR="00FA35B3" w:rsidRPr="00176A31">
        <w:rPr>
          <w:i/>
          <w:iCs/>
        </w:rPr>
        <w:t>Federal Register</w:t>
      </w:r>
      <w:r w:rsidR="00FA35B3" w:rsidRPr="00640D01">
        <w:t xml:space="preserve"> Volume </w:t>
      </w:r>
      <w:r w:rsidRPr="00640D01">
        <w:t>62</w:t>
      </w:r>
      <w:r w:rsidR="00FA35B3" w:rsidRPr="00640D01">
        <w:t>, page</w:t>
      </w:r>
      <w:r w:rsidRPr="00640D01">
        <w:t xml:space="preserve"> 43780. The CAAA </w:t>
      </w:r>
      <w:r w:rsidR="00CD4E73" w:rsidRPr="00640D01">
        <w:t xml:space="preserve">requires </w:t>
      </w:r>
      <w:r w:rsidRPr="00640D01">
        <w:t>that TCMs be included in SIPs for regions designated as serious and above ozone nonattainment areas.</w:t>
      </w:r>
    </w:p>
    <w:p w14:paraId="123DF4EA" w14:textId="2244D24A" w:rsidR="00FC6899" w:rsidRPr="00640D01" w:rsidRDefault="00FC6899" w:rsidP="009D25C4">
      <w:pPr>
        <w:pStyle w:val="BodyText"/>
      </w:pPr>
      <w:hyperlink r:id="rId41" w:history="1">
        <w:r w:rsidRPr="00640D01">
          <w:rPr>
            <w:rStyle w:val="Hyperlink"/>
          </w:rPr>
          <w:t>Section 93.113</w:t>
        </w:r>
      </w:hyperlink>
      <w:r w:rsidRPr="00640D01">
        <w:t xml:space="preserve"> of the conformity rule requires MPOs to verify </w:t>
      </w:r>
      <w:r w:rsidR="00FA35B3" w:rsidRPr="00640D01">
        <w:t xml:space="preserve">that </w:t>
      </w:r>
      <w:r w:rsidRPr="00640D01">
        <w:t xml:space="preserve">the MTP and TIP provide for </w:t>
      </w:r>
      <w:r w:rsidR="00684C90" w:rsidRPr="00640D01">
        <w:t xml:space="preserve">the </w:t>
      </w:r>
      <w:r w:rsidRPr="00640D01">
        <w:t xml:space="preserve">timely implementation of TCMs in the applicable SIP. The MTP was reviewed to confirm </w:t>
      </w:r>
      <w:r w:rsidR="00FA35B3" w:rsidRPr="00640D01">
        <w:t xml:space="preserve">that </w:t>
      </w:r>
      <w:r w:rsidRPr="00640D01">
        <w:t xml:space="preserve">the goals, directives, recommendations, and projects do not contradict </w:t>
      </w:r>
      <w:r w:rsidR="00CD4E73" w:rsidRPr="00640D01">
        <w:t xml:space="preserve">the </w:t>
      </w:r>
      <w:r w:rsidRPr="00640D01">
        <w:t xml:space="preserve">specific requirements or commitments of the applicable SIP. The TIP was reviewed to confirm </w:t>
      </w:r>
      <w:r w:rsidR="00FA35B3" w:rsidRPr="00640D01">
        <w:t xml:space="preserve">that </w:t>
      </w:r>
      <w:r w:rsidRPr="00640D01">
        <w:t>implementation and expected implementation of projects through federal, state, and local funding sources are on schedule.</w:t>
      </w:r>
    </w:p>
    <w:p w14:paraId="3A8429CA" w14:textId="717D2B08" w:rsidR="006C6F18" w:rsidRPr="00640D01" w:rsidRDefault="006C6F18" w:rsidP="009D25C4">
      <w:pPr>
        <w:pStyle w:val="BodyText"/>
        <w:rPr>
          <w:b/>
          <w:bCs/>
          <w:color w:val="7030A0"/>
        </w:rPr>
      </w:pPr>
      <w:r w:rsidRPr="00176A31">
        <w:rPr>
          <w:color w:val="7030A0"/>
        </w:rPr>
        <w:t>[</w:t>
      </w:r>
      <w:r w:rsidRPr="00640D01">
        <w:rPr>
          <w:b/>
          <w:bCs/>
          <w:color w:val="7030A0"/>
        </w:rPr>
        <w:t>Describe how TCMs are included, if applicable</w:t>
      </w:r>
      <w:r w:rsidR="00FA35B3" w:rsidRPr="00640D01">
        <w:rPr>
          <w:b/>
          <w:bCs/>
          <w:color w:val="7030A0"/>
        </w:rPr>
        <w:t>.</w:t>
      </w:r>
      <w:r w:rsidRPr="00176A31">
        <w:rPr>
          <w:color w:val="7030A0"/>
        </w:rPr>
        <w:t>]</w:t>
      </w:r>
    </w:p>
    <w:p w14:paraId="08289E6A" w14:textId="0AA48FC3" w:rsidR="001D6883" w:rsidRPr="00640D01" w:rsidRDefault="001D6883" w:rsidP="008251B3">
      <w:pPr>
        <w:pStyle w:val="Heading4"/>
      </w:pPr>
      <w:r w:rsidRPr="00640D01">
        <w:t>TERM</w:t>
      </w:r>
    </w:p>
    <w:p w14:paraId="314AB682" w14:textId="62B371E2" w:rsidR="006B2A64" w:rsidRPr="00640D01" w:rsidRDefault="00CC0AAD" w:rsidP="009D25C4">
      <w:pPr>
        <w:pStyle w:val="BodyText"/>
      </w:pPr>
      <w:r w:rsidRPr="00640D01">
        <w:t xml:space="preserve">TERMs are transportation projects and related activities that are designed to achieve on-road mobile source emission reductions but are not included as control measures in the SIP. </w:t>
      </w:r>
    </w:p>
    <w:p w14:paraId="34BDAB0A" w14:textId="722A1609" w:rsidR="00AA3EDA" w:rsidRPr="00640D01" w:rsidRDefault="00AA3EDA" w:rsidP="009D25C4">
      <w:pPr>
        <w:pStyle w:val="BodyText"/>
        <w:rPr>
          <w:b/>
          <w:bCs/>
          <w:color w:val="7030A0"/>
        </w:rPr>
      </w:pPr>
      <w:r w:rsidRPr="00176A31">
        <w:rPr>
          <w:color w:val="7030A0"/>
        </w:rPr>
        <w:t>[</w:t>
      </w:r>
      <w:r w:rsidRPr="00640D01">
        <w:rPr>
          <w:b/>
          <w:bCs/>
          <w:color w:val="7030A0"/>
        </w:rPr>
        <w:t>Describe how TERMs are included, if applicable</w:t>
      </w:r>
      <w:r w:rsidR="00FA35B3" w:rsidRPr="00640D01">
        <w:rPr>
          <w:b/>
          <w:bCs/>
          <w:color w:val="7030A0"/>
        </w:rPr>
        <w:t>.</w:t>
      </w:r>
      <w:r w:rsidRPr="00176A31">
        <w:rPr>
          <w:color w:val="7030A0"/>
        </w:rPr>
        <w:t>]</w:t>
      </w:r>
    </w:p>
    <w:p w14:paraId="641AB6E5" w14:textId="5A9440B3" w:rsidR="006B2A64" w:rsidRPr="00640D01" w:rsidRDefault="008251B3" w:rsidP="008251B3">
      <w:pPr>
        <w:pStyle w:val="Heading4"/>
      </w:pPr>
      <w:r w:rsidRPr="00640D01">
        <w:t>CMAQ</w:t>
      </w:r>
    </w:p>
    <w:p w14:paraId="048EDB1B" w14:textId="2FCAF7E6" w:rsidR="006B2A64" w:rsidRPr="00640D01" w:rsidRDefault="00BA5186" w:rsidP="009D25C4">
      <w:pPr>
        <w:pStyle w:val="BodyText"/>
      </w:pPr>
      <w:r w:rsidRPr="00640D01">
        <w:t xml:space="preserve">The </w:t>
      </w:r>
      <w:r w:rsidR="004317CC" w:rsidRPr="00640D01">
        <w:t>CMAQ</w:t>
      </w:r>
      <w:r w:rsidR="00E03402" w:rsidRPr="00640D01">
        <w:t xml:space="preserve"> is a major funding source for most MoSERS.</w:t>
      </w:r>
      <w:r w:rsidR="00A77BB5" w:rsidRPr="00640D01">
        <w:t xml:space="preserve"> </w:t>
      </w:r>
      <w:r w:rsidR="00991BA7" w:rsidRPr="00176A31">
        <w:t>Appendix</w:t>
      </w:r>
      <w:r w:rsidRPr="00640D01">
        <w:t xml:space="preserve"> Section</w:t>
      </w:r>
      <w:r w:rsidR="00991BA7" w:rsidRPr="00176A31">
        <w:t xml:space="preserve"> </w:t>
      </w:r>
      <w:r w:rsidR="00991BA7" w:rsidRPr="00176A31">
        <w:fldChar w:fldCharType="begin"/>
      </w:r>
      <w:r w:rsidR="00991BA7" w:rsidRPr="00176A31">
        <w:instrText xml:space="preserve"> REF _Ref159501244 \h  \* MERGEFORMAT </w:instrText>
      </w:r>
      <w:r w:rsidR="00991BA7" w:rsidRPr="00176A31">
        <w:fldChar w:fldCharType="separate"/>
      </w:r>
      <w:r w:rsidR="00514311" w:rsidRPr="00640D01">
        <w:t>E.3 CMAQ Project List</w:t>
      </w:r>
      <w:r w:rsidR="00991BA7" w:rsidRPr="00176A31">
        <w:fldChar w:fldCharType="end"/>
      </w:r>
      <w:r w:rsidR="00991BA7" w:rsidRPr="00640D01">
        <w:t xml:space="preserve"> provides a</w:t>
      </w:r>
      <w:r w:rsidR="002476E1" w:rsidRPr="00640D01">
        <w:t xml:space="preserve"> list of CMAQ projects eligible for inclusion</w:t>
      </w:r>
      <w:r w:rsidR="00991BA7" w:rsidRPr="00640D01">
        <w:t>.</w:t>
      </w:r>
    </w:p>
    <w:p w14:paraId="285A2BBA" w14:textId="7CDEE52C" w:rsidR="00046D66" w:rsidRPr="00640D01" w:rsidRDefault="00046D66" w:rsidP="00046D66">
      <w:pPr>
        <w:pStyle w:val="Heading4"/>
      </w:pPr>
      <w:r w:rsidRPr="00640D01">
        <w:t>M</w:t>
      </w:r>
      <w:r w:rsidR="009355CB" w:rsidRPr="00640D01">
        <w:t>o</w:t>
      </w:r>
      <w:r w:rsidRPr="00640D01">
        <w:t>SERS Emission Reduction</w:t>
      </w:r>
    </w:p>
    <w:p w14:paraId="7100E366" w14:textId="09B71B20" w:rsidR="00046D66" w:rsidRPr="00640D01" w:rsidRDefault="00991BA7" w:rsidP="009D25C4">
      <w:pPr>
        <w:pStyle w:val="BodyText"/>
      </w:pPr>
      <w:r w:rsidRPr="00640D01">
        <w:fldChar w:fldCharType="begin"/>
      </w:r>
      <w:r w:rsidRPr="00640D01">
        <w:instrText xml:space="preserve"> REF _Ref152919283 \h  \* MERGEFORMAT </w:instrText>
      </w:r>
      <w:r w:rsidRPr="00640D01">
        <w:fldChar w:fldCharType="separate"/>
      </w:r>
      <w:r w:rsidR="00514311" w:rsidRPr="00640D01">
        <w:t xml:space="preserve">Table </w:t>
      </w:r>
      <w:r w:rsidR="00514311">
        <w:t>6</w:t>
      </w:r>
      <w:r w:rsidR="00514311">
        <w:noBreakHyphen/>
        <w:t>2</w:t>
      </w:r>
      <w:r w:rsidRPr="00640D01">
        <w:fldChar w:fldCharType="end"/>
      </w:r>
      <w:r w:rsidRPr="00640D01">
        <w:t xml:space="preserve"> lists e</w:t>
      </w:r>
      <w:r w:rsidR="008A6E5A" w:rsidRPr="00640D01">
        <w:t>mission reduction from the sum of M</w:t>
      </w:r>
      <w:r w:rsidR="009355CB" w:rsidRPr="00640D01">
        <w:t>o</w:t>
      </w:r>
      <w:r w:rsidR="008A6E5A" w:rsidRPr="00640D01">
        <w:t>SERS</w:t>
      </w:r>
      <w:r w:rsidR="00E256C5" w:rsidRPr="00640D01">
        <w:t>.</w:t>
      </w:r>
    </w:p>
    <w:p w14:paraId="4374EB57" w14:textId="5FCA9B0C" w:rsidR="00E256C5" w:rsidRPr="00640D01" w:rsidRDefault="00E256C5" w:rsidP="009D25C4">
      <w:pPr>
        <w:pStyle w:val="TableCaption"/>
      </w:pPr>
      <w:bookmarkStart w:id="133" w:name="_Ref152919283"/>
      <w:bookmarkStart w:id="134" w:name="_Toc190183132"/>
      <w:r w:rsidRPr="00640D01">
        <w:t xml:space="preserve">Table </w:t>
      </w:r>
      <w:r w:rsidR="00514311">
        <w:fldChar w:fldCharType="begin"/>
      </w:r>
      <w:r w:rsidR="00514311">
        <w:instrText xml:space="preserve"> STYLEREF 1 \s </w:instrText>
      </w:r>
      <w:r w:rsidR="00514311">
        <w:fldChar w:fldCharType="separate"/>
      </w:r>
      <w:r w:rsidR="00514311">
        <w:rPr>
          <w:noProof/>
        </w:rPr>
        <w:t>6</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2</w:t>
      </w:r>
      <w:r w:rsidR="00514311">
        <w:fldChar w:fldCharType="end"/>
      </w:r>
      <w:bookmarkEnd w:id="133"/>
      <w:r w:rsidRPr="00640D01">
        <w:t xml:space="preserve">. </w:t>
      </w:r>
      <w:r w:rsidR="00684C90" w:rsidRPr="00640D01">
        <w:t>S</w:t>
      </w:r>
      <w:r w:rsidR="009355CB" w:rsidRPr="00640D01">
        <w:t>um of MoSERS Benefits</w:t>
      </w:r>
      <w:bookmarkEnd w:id="134"/>
    </w:p>
    <w:tbl>
      <w:tblPr>
        <w:tblStyle w:val="TableGrid"/>
        <w:tblW w:w="0" w:type="auto"/>
        <w:tblBorders>
          <w:left w:val="single" w:sz="4" w:space="0" w:color="FFFFFF" w:themeColor="background1"/>
          <w:right w:val="single" w:sz="4" w:space="0" w:color="FFFFFF" w:themeColor="background1"/>
        </w:tblBorders>
        <w:tblCellMar>
          <w:top w:w="29" w:type="dxa"/>
          <w:bottom w:w="29" w:type="dxa"/>
        </w:tblCellMar>
        <w:tblLook w:val="04A0" w:firstRow="1" w:lastRow="0" w:firstColumn="1" w:lastColumn="0" w:noHBand="0" w:noVBand="1"/>
      </w:tblPr>
      <w:tblGrid>
        <w:gridCol w:w="2362"/>
        <w:gridCol w:w="2114"/>
        <w:gridCol w:w="2437"/>
        <w:gridCol w:w="2437"/>
      </w:tblGrid>
      <w:tr w:rsidR="008D27E7" w:rsidRPr="00640D01" w14:paraId="54E4E733" w14:textId="77777777" w:rsidTr="008D27E7">
        <w:trPr>
          <w:trHeight w:val="317"/>
        </w:trPr>
        <w:tc>
          <w:tcPr>
            <w:tcW w:w="2362" w:type="dxa"/>
            <w:tcBorders>
              <w:right w:val="single" w:sz="4" w:space="0" w:color="FFFFFF" w:themeColor="background1"/>
            </w:tcBorders>
            <w:shd w:val="clear" w:color="auto" w:fill="002060"/>
            <w:vAlign w:val="center"/>
          </w:tcPr>
          <w:p w14:paraId="77753C4C" w14:textId="77777777" w:rsidR="008D27E7" w:rsidRPr="00640D01" w:rsidRDefault="008D27E7" w:rsidP="008D27E7">
            <w:pPr>
              <w:pStyle w:val="TableHeader"/>
            </w:pPr>
            <w:r w:rsidRPr="00640D01">
              <w:t>Analysis Year</w:t>
            </w:r>
          </w:p>
        </w:tc>
        <w:tc>
          <w:tcPr>
            <w:tcW w:w="2114" w:type="dxa"/>
            <w:tcBorders>
              <w:left w:val="single" w:sz="4" w:space="0" w:color="FFFFFF" w:themeColor="background1"/>
              <w:right w:val="single" w:sz="4" w:space="0" w:color="FFFFFF" w:themeColor="background1"/>
            </w:tcBorders>
            <w:shd w:val="clear" w:color="auto" w:fill="002060"/>
            <w:vAlign w:val="center"/>
          </w:tcPr>
          <w:p w14:paraId="21624364" w14:textId="38231A1B" w:rsidR="008D27E7" w:rsidRPr="00640D01" w:rsidRDefault="008D27E7" w:rsidP="008D27E7">
            <w:pPr>
              <w:pStyle w:val="TableHeader"/>
            </w:pPr>
            <w:r>
              <w:t>VMT</w:t>
            </w:r>
          </w:p>
        </w:tc>
        <w:tc>
          <w:tcPr>
            <w:tcW w:w="2437" w:type="dxa"/>
            <w:tcBorders>
              <w:left w:val="single" w:sz="4" w:space="0" w:color="FFFFFF" w:themeColor="background1"/>
              <w:right w:val="single" w:sz="4" w:space="0" w:color="FFFFFF" w:themeColor="background1"/>
            </w:tcBorders>
            <w:shd w:val="clear" w:color="auto" w:fill="002060"/>
            <w:vAlign w:val="center"/>
          </w:tcPr>
          <w:p w14:paraId="67972BB0" w14:textId="1F1C7286" w:rsidR="008D27E7" w:rsidRPr="00640D01" w:rsidRDefault="008D27E7" w:rsidP="008D27E7">
            <w:pPr>
              <w:pStyle w:val="TableHeader"/>
            </w:pPr>
            <w:r w:rsidRPr="00640D01">
              <w:t>NOx (Tons/Day)</w:t>
            </w:r>
          </w:p>
        </w:tc>
        <w:tc>
          <w:tcPr>
            <w:tcW w:w="2437" w:type="dxa"/>
            <w:tcBorders>
              <w:left w:val="single" w:sz="4" w:space="0" w:color="FFFFFF" w:themeColor="background1"/>
            </w:tcBorders>
            <w:shd w:val="clear" w:color="auto" w:fill="002060"/>
            <w:vAlign w:val="center"/>
          </w:tcPr>
          <w:p w14:paraId="2D73F759" w14:textId="03A0CF6C" w:rsidR="008D27E7" w:rsidRPr="00640D01" w:rsidRDefault="008D27E7" w:rsidP="008D27E7">
            <w:pPr>
              <w:pStyle w:val="TableHeader"/>
            </w:pPr>
            <w:r w:rsidRPr="00640D01">
              <w:t>VOC (Tons/Day)</w:t>
            </w:r>
          </w:p>
        </w:tc>
      </w:tr>
      <w:tr w:rsidR="008D27E7" w:rsidRPr="00640D01" w14:paraId="460A6B23" w14:textId="77777777" w:rsidTr="008D27E7">
        <w:trPr>
          <w:trHeight w:val="317"/>
        </w:trPr>
        <w:tc>
          <w:tcPr>
            <w:tcW w:w="2362" w:type="dxa"/>
            <w:vAlign w:val="center"/>
          </w:tcPr>
          <w:p w14:paraId="6C866F82" w14:textId="5FD452FB" w:rsidR="008D27E7" w:rsidRPr="00640D01" w:rsidRDefault="008D27E7" w:rsidP="009D25C4">
            <w:pPr>
              <w:pStyle w:val="TableText"/>
            </w:pPr>
          </w:p>
        </w:tc>
        <w:tc>
          <w:tcPr>
            <w:tcW w:w="2114" w:type="dxa"/>
          </w:tcPr>
          <w:p w14:paraId="52109922" w14:textId="77777777" w:rsidR="008D27E7" w:rsidRPr="00640D01" w:rsidRDefault="008D27E7" w:rsidP="009D25C4">
            <w:pPr>
              <w:pStyle w:val="TableText"/>
            </w:pPr>
          </w:p>
        </w:tc>
        <w:tc>
          <w:tcPr>
            <w:tcW w:w="2437" w:type="dxa"/>
            <w:vAlign w:val="center"/>
          </w:tcPr>
          <w:p w14:paraId="7C70C236" w14:textId="51C01C75" w:rsidR="008D27E7" w:rsidRPr="00640D01" w:rsidRDefault="008D27E7" w:rsidP="009D25C4">
            <w:pPr>
              <w:pStyle w:val="TableText"/>
            </w:pPr>
          </w:p>
        </w:tc>
        <w:tc>
          <w:tcPr>
            <w:tcW w:w="2437" w:type="dxa"/>
            <w:vAlign w:val="center"/>
          </w:tcPr>
          <w:p w14:paraId="0CD798B7" w14:textId="77777777" w:rsidR="008D27E7" w:rsidRPr="00640D01" w:rsidRDefault="008D27E7" w:rsidP="009D25C4">
            <w:pPr>
              <w:pStyle w:val="TableText"/>
            </w:pPr>
          </w:p>
        </w:tc>
      </w:tr>
      <w:tr w:rsidR="008D27E7" w:rsidRPr="00640D01" w14:paraId="0A210F2F" w14:textId="77777777" w:rsidTr="008D27E7">
        <w:trPr>
          <w:trHeight w:val="317"/>
        </w:trPr>
        <w:tc>
          <w:tcPr>
            <w:tcW w:w="2362" w:type="dxa"/>
            <w:vAlign w:val="center"/>
          </w:tcPr>
          <w:p w14:paraId="18BD0292" w14:textId="77777777" w:rsidR="008D27E7" w:rsidRPr="00640D01" w:rsidRDefault="008D27E7" w:rsidP="009D25C4">
            <w:pPr>
              <w:pStyle w:val="TableText"/>
            </w:pPr>
          </w:p>
        </w:tc>
        <w:tc>
          <w:tcPr>
            <w:tcW w:w="2114" w:type="dxa"/>
          </w:tcPr>
          <w:p w14:paraId="712ED838" w14:textId="77777777" w:rsidR="008D27E7" w:rsidRPr="00640D01" w:rsidRDefault="008D27E7" w:rsidP="009D25C4">
            <w:pPr>
              <w:pStyle w:val="TableText"/>
            </w:pPr>
          </w:p>
        </w:tc>
        <w:tc>
          <w:tcPr>
            <w:tcW w:w="2437" w:type="dxa"/>
            <w:vAlign w:val="center"/>
          </w:tcPr>
          <w:p w14:paraId="26186140" w14:textId="61CF8504" w:rsidR="008D27E7" w:rsidRPr="00640D01" w:rsidRDefault="008D27E7" w:rsidP="009D25C4">
            <w:pPr>
              <w:pStyle w:val="TableText"/>
            </w:pPr>
          </w:p>
        </w:tc>
        <w:tc>
          <w:tcPr>
            <w:tcW w:w="2437" w:type="dxa"/>
            <w:vAlign w:val="center"/>
          </w:tcPr>
          <w:p w14:paraId="10578F4C" w14:textId="77777777" w:rsidR="008D27E7" w:rsidRPr="00640D01" w:rsidRDefault="008D27E7" w:rsidP="009D25C4">
            <w:pPr>
              <w:pStyle w:val="TableText"/>
            </w:pPr>
          </w:p>
        </w:tc>
      </w:tr>
      <w:tr w:rsidR="008D27E7" w:rsidRPr="00640D01" w14:paraId="50D599C0" w14:textId="77777777" w:rsidTr="008D27E7">
        <w:trPr>
          <w:trHeight w:val="317"/>
        </w:trPr>
        <w:tc>
          <w:tcPr>
            <w:tcW w:w="2362" w:type="dxa"/>
            <w:vAlign w:val="center"/>
          </w:tcPr>
          <w:p w14:paraId="315036DF" w14:textId="77777777" w:rsidR="008D27E7" w:rsidRPr="00640D01" w:rsidRDefault="008D27E7" w:rsidP="009D25C4">
            <w:pPr>
              <w:pStyle w:val="TableText"/>
            </w:pPr>
          </w:p>
        </w:tc>
        <w:tc>
          <w:tcPr>
            <w:tcW w:w="2114" w:type="dxa"/>
          </w:tcPr>
          <w:p w14:paraId="3A9711AD" w14:textId="77777777" w:rsidR="008D27E7" w:rsidRPr="00640D01" w:rsidRDefault="008D27E7" w:rsidP="009D25C4">
            <w:pPr>
              <w:pStyle w:val="TableText"/>
            </w:pPr>
          </w:p>
        </w:tc>
        <w:tc>
          <w:tcPr>
            <w:tcW w:w="2437" w:type="dxa"/>
            <w:vAlign w:val="center"/>
          </w:tcPr>
          <w:p w14:paraId="6D55D6B6" w14:textId="2D29E085" w:rsidR="008D27E7" w:rsidRPr="00640D01" w:rsidRDefault="008D27E7" w:rsidP="009D25C4">
            <w:pPr>
              <w:pStyle w:val="TableText"/>
            </w:pPr>
          </w:p>
        </w:tc>
        <w:tc>
          <w:tcPr>
            <w:tcW w:w="2437" w:type="dxa"/>
            <w:vAlign w:val="center"/>
          </w:tcPr>
          <w:p w14:paraId="111AEBD2" w14:textId="77777777" w:rsidR="008D27E7" w:rsidRPr="00640D01" w:rsidRDefault="008D27E7" w:rsidP="009D25C4">
            <w:pPr>
              <w:pStyle w:val="TableText"/>
            </w:pPr>
          </w:p>
        </w:tc>
      </w:tr>
      <w:tr w:rsidR="008D27E7" w:rsidRPr="00640D01" w14:paraId="7423F141" w14:textId="77777777" w:rsidTr="008D27E7">
        <w:trPr>
          <w:trHeight w:val="317"/>
        </w:trPr>
        <w:tc>
          <w:tcPr>
            <w:tcW w:w="2362" w:type="dxa"/>
            <w:vAlign w:val="center"/>
          </w:tcPr>
          <w:p w14:paraId="2A11A1BF" w14:textId="77777777" w:rsidR="008D27E7" w:rsidRPr="00640D01" w:rsidRDefault="008D27E7" w:rsidP="009D25C4">
            <w:pPr>
              <w:pStyle w:val="TableText"/>
            </w:pPr>
          </w:p>
        </w:tc>
        <w:tc>
          <w:tcPr>
            <w:tcW w:w="2114" w:type="dxa"/>
          </w:tcPr>
          <w:p w14:paraId="727C8514" w14:textId="77777777" w:rsidR="008D27E7" w:rsidRPr="00640D01" w:rsidRDefault="008D27E7" w:rsidP="009D25C4">
            <w:pPr>
              <w:pStyle w:val="TableText"/>
            </w:pPr>
          </w:p>
        </w:tc>
        <w:tc>
          <w:tcPr>
            <w:tcW w:w="2437" w:type="dxa"/>
            <w:vAlign w:val="center"/>
          </w:tcPr>
          <w:p w14:paraId="0176F448" w14:textId="508DFF00" w:rsidR="008D27E7" w:rsidRPr="00640D01" w:rsidRDefault="008D27E7" w:rsidP="009D25C4">
            <w:pPr>
              <w:pStyle w:val="TableText"/>
            </w:pPr>
          </w:p>
        </w:tc>
        <w:tc>
          <w:tcPr>
            <w:tcW w:w="2437" w:type="dxa"/>
            <w:vAlign w:val="center"/>
          </w:tcPr>
          <w:p w14:paraId="4B86241B" w14:textId="77777777" w:rsidR="008D27E7" w:rsidRPr="00640D01" w:rsidRDefault="008D27E7" w:rsidP="009D25C4">
            <w:pPr>
              <w:pStyle w:val="TableText"/>
            </w:pPr>
          </w:p>
        </w:tc>
      </w:tr>
    </w:tbl>
    <w:p w14:paraId="0CBDAA34" w14:textId="5546FBF5" w:rsidR="0011731C" w:rsidRPr="00640D01" w:rsidRDefault="00E4791A" w:rsidP="009D25C4">
      <w:pPr>
        <w:pStyle w:val="Heading2"/>
        <w:spacing w:before="240"/>
      </w:pPr>
      <w:bookmarkStart w:id="135" w:name="_Toc190242735"/>
      <w:r w:rsidRPr="00640D01">
        <w:t>Final Analysis Results</w:t>
      </w:r>
      <w:bookmarkEnd w:id="135"/>
      <w:r w:rsidRPr="00640D01">
        <w:t xml:space="preserve"> </w:t>
      </w:r>
    </w:p>
    <w:p w14:paraId="52AF7613" w14:textId="66932B69" w:rsidR="008338B4" w:rsidRPr="00640D01" w:rsidRDefault="00514311" w:rsidP="009D25C4">
      <w:pPr>
        <w:pStyle w:val="BodyText"/>
      </w:pPr>
      <w:r>
        <w:t>Table 6-3</w:t>
      </w:r>
      <w:r w:rsidR="00D71BDA">
        <w:t xml:space="preserve"> </w:t>
      </w:r>
      <w:r w:rsidR="008338B4" w:rsidRPr="00640D01">
        <w:t>shows the final mobile emission results of this conformity analysis. These final emissions are below the maximum allowable level set forth by the MVEB for</w:t>
      </w:r>
      <w:r w:rsidR="008338B4" w:rsidRPr="00640D01">
        <w:rPr>
          <w:b/>
          <w:bCs/>
        </w:rPr>
        <w:t xml:space="preserve"> </w:t>
      </w:r>
      <w:sdt>
        <w:sdtPr>
          <w:rPr>
            <w:b/>
            <w:bCs/>
            <w:color w:val="C00000"/>
          </w:rPr>
          <w:id w:val="-1337297268"/>
          <w:placeholder>
            <w:docPart w:val="ABCF5B99038C4566AD63854E6FADE8B1"/>
          </w:placeholder>
          <w:showingPlcHdr/>
          <w:dropDownList>
            <w:listItem w:value="Choose an item."/>
            <w:listItem w:displayText="Volatile Organic Compounds (VOC)" w:value="Volatile Organic Compounds (VOC)"/>
            <w:listItem w:displayText="Nitrogen Oxides (NOx) " w:value="Nitrogen Oxides (NOx) "/>
            <w:listItem w:displayText="Carbon Monoxide (CO)" w:value="Carbon Monoxide (CO)"/>
            <w:listItem w:displayText="Particulate Matter (PM-10)" w:value="Particulate Matter (PM-10)"/>
            <w:listItem w:displayText="Particulate Matter (PM 2.5)" w:value="Particulate Matter (PM 2.5)"/>
          </w:dropDownList>
        </w:sdtPr>
        <w:sdtContent>
          <w:r w:rsidR="00B31351" w:rsidRPr="00640D01">
            <w:rPr>
              <w:b/>
              <w:bCs/>
              <w:color w:val="C00000"/>
            </w:rPr>
            <w:t>[Name of Pollutant]</w:t>
          </w:r>
        </w:sdtContent>
      </w:sdt>
      <w:r w:rsidR="00B31351" w:rsidRPr="00640D01">
        <w:t xml:space="preserve"> </w:t>
      </w:r>
      <w:r w:rsidR="008338B4" w:rsidRPr="00640D01">
        <w:t xml:space="preserve">in the </w:t>
      </w:r>
      <w:r w:rsidR="00A25C48" w:rsidRPr="00640D01">
        <w:t>SIP.</w:t>
      </w:r>
    </w:p>
    <w:p w14:paraId="6D660B6D" w14:textId="0CB2C709" w:rsidR="00F6000F" w:rsidRPr="00640D01" w:rsidRDefault="00F6000F" w:rsidP="00176A31">
      <w:pPr>
        <w:pStyle w:val="BodyText"/>
        <w:keepNext/>
        <w:rPr>
          <w:color w:val="70AD47" w:themeColor="accent6"/>
        </w:rPr>
      </w:pPr>
      <w:r w:rsidRPr="00640D01">
        <w:lastRenderedPageBreak/>
        <w:t>Check only one box</w:t>
      </w:r>
      <w:r w:rsidR="00991BA7" w:rsidRPr="00640D01">
        <w:t xml:space="preserve"> and </w:t>
      </w:r>
      <w:r w:rsidRPr="00640D01">
        <w:t xml:space="preserve">then populate </w:t>
      </w:r>
      <w:r w:rsidR="00991BA7" w:rsidRPr="00640D01">
        <w:t xml:space="preserve">the </w:t>
      </w:r>
      <w:r w:rsidR="00FF3375" w:rsidRPr="00640D01">
        <w:t xml:space="preserve">applicable </w:t>
      </w:r>
      <w:r w:rsidRPr="00640D01">
        <w:t>table</w:t>
      </w:r>
      <w:r w:rsidR="00FF3375" w:rsidRPr="00640D01">
        <w:t>.</w:t>
      </w:r>
    </w:p>
    <w:bookmarkStart w:id="136" w:name="_Toc190183133"/>
    <w:p w14:paraId="57C76F60" w14:textId="7005A1DA" w:rsidR="00514311" w:rsidRDefault="00000000" w:rsidP="00514311">
      <w:pPr>
        <w:pStyle w:val="BodyTextBold"/>
      </w:pPr>
      <w:sdt>
        <w:sdtPr>
          <w:id w:val="-276797482"/>
          <w14:checkbox>
            <w14:checked w14:val="0"/>
            <w14:checkedState w14:val="2612" w14:font="MS Gothic"/>
            <w14:uncheckedState w14:val="2610" w14:font="MS Gothic"/>
          </w14:checkbox>
        </w:sdtPr>
        <w:sdtContent>
          <w:r w:rsidR="00F6000F" w:rsidRPr="00640D01">
            <w:rPr>
              <w:rFonts w:ascii="MS Gothic" w:eastAsia="MS Gothic" w:hAnsi="MS Gothic"/>
            </w:rPr>
            <w:t>☐</w:t>
          </w:r>
        </w:sdtContent>
      </w:sdt>
      <w:r w:rsidR="00F6000F" w:rsidRPr="00640D01">
        <w:t xml:space="preserve"> </w:t>
      </w:r>
      <w:r w:rsidR="00514311">
        <w:t xml:space="preserve">Table </w:t>
      </w:r>
      <w:r w:rsidR="00514311">
        <w:fldChar w:fldCharType="begin"/>
      </w:r>
      <w:r w:rsidR="00514311">
        <w:instrText xml:space="preserve"> STYLEREF 1 \s </w:instrText>
      </w:r>
      <w:r w:rsidR="00514311">
        <w:fldChar w:fldCharType="separate"/>
      </w:r>
      <w:r w:rsidR="00514311">
        <w:rPr>
          <w:noProof/>
        </w:rPr>
        <w:t>6</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3</w:t>
      </w:r>
      <w:r w:rsidR="00514311">
        <w:fldChar w:fldCharType="end"/>
      </w:r>
      <w:r w:rsidR="00514311">
        <w:t xml:space="preserve">. </w:t>
      </w:r>
      <w:r w:rsidR="00514311" w:rsidRPr="007A1E1E">
        <w:t>For nonattainment or maintenance areas with adequate or approved SIP MVEB(s)</w:t>
      </w:r>
      <w:bookmarkEnd w:id="136"/>
    </w:p>
    <w:tbl>
      <w:tblPr>
        <w:tblStyle w:val="TableGrid"/>
        <w:tblW w:w="0" w:type="auto"/>
        <w:tblBorders>
          <w:left w:val="single" w:sz="4" w:space="0" w:color="FFFFFF" w:themeColor="background1"/>
          <w:right w:val="single" w:sz="4" w:space="0" w:color="FFFFFF" w:themeColor="background1"/>
        </w:tblBorders>
        <w:tblCellMar>
          <w:top w:w="29" w:type="dxa"/>
          <w:bottom w:w="29" w:type="dxa"/>
        </w:tblCellMar>
        <w:tblLook w:val="04A0" w:firstRow="1" w:lastRow="0" w:firstColumn="1" w:lastColumn="0" w:noHBand="0" w:noVBand="1"/>
      </w:tblPr>
      <w:tblGrid>
        <w:gridCol w:w="1573"/>
        <w:gridCol w:w="1300"/>
        <w:gridCol w:w="1619"/>
        <w:gridCol w:w="1619"/>
        <w:gridCol w:w="1619"/>
        <w:gridCol w:w="1620"/>
      </w:tblGrid>
      <w:tr w:rsidR="008D27E7" w:rsidRPr="00640D01" w14:paraId="4FAAC845" w14:textId="77777777" w:rsidTr="008D27E7">
        <w:trPr>
          <w:trHeight w:val="317"/>
        </w:trPr>
        <w:tc>
          <w:tcPr>
            <w:tcW w:w="1573" w:type="dxa"/>
            <w:tcBorders>
              <w:right w:val="single" w:sz="4" w:space="0" w:color="FFFFFF" w:themeColor="background1"/>
            </w:tcBorders>
            <w:shd w:val="clear" w:color="auto" w:fill="002060"/>
            <w:vAlign w:val="center"/>
          </w:tcPr>
          <w:p w14:paraId="30519FE1" w14:textId="77777777" w:rsidR="008D27E7" w:rsidRPr="00640D01" w:rsidRDefault="008D27E7" w:rsidP="008D27E7">
            <w:pPr>
              <w:pStyle w:val="TableHeader"/>
            </w:pPr>
            <w:r w:rsidRPr="00640D01">
              <w:t>Analysis Year</w:t>
            </w:r>
          </w:p>
        </w:tc>
        <w:tc>
          <w:tcPr>
            <w:tcW w:w="1300" w:type="dxa"/>
            <w:tcBorders>
              <w:left w:val="single" w:sz="4" w:space="0" w:color="FFFFFF" w:themeColor="background1"/>
              <w:right w:val="single" w:sz="4" w:space="0" w:color="FFFFFF" w:themeColor="background1"/>
            </w:tcBorders>
            <w:shd w:val="clear" w:color="auto" w:fill="002060"/>
            <w:vAlign w:val="center"/>
          </w:tcPr>
          <w:p w14:paraId="24EAD2B3" w14:textId="7CD3D537" w:rsidR="008D27E7" w:rsidRPr="00640D01" w:rsidRDefault="008D27E7" w:rsidP="008D27E7">
            <w:pPr>
              <w:pStyle w:val="TableHeader"/>
            </w:pPr>
            <w:r>
              <w:t>VMT</w:t>
            </w:r>
          </w:p>
        </w:tc>
        <w:tc>
          <w:tcPr>
            <w:tcW w:w="1619" w:type="dxa"/>
            <w:tcBorders>
              <w:left w:val="single" w:sz="4" w:space="0" w:color="FFFFFF" w:themeColor="background1"/>
              <w:right w:val="single" w:sz="4" w:space="0" w:color="FFFFFF" w:themeColor="background1"/>
            </w:tcBorders>
            <w:shd w:val="clear" w:color="auto" w:fill="002060"/>
            <w:vAlign w:val="center"/>
          </w:tcPr>
          <w:p w14:paraId="36500AB0" w14:textId="44F5CDF4" w:rsidR="008D27E7" w:rsidRPr="00640D01" w:rsidRDefault="008D27E7" w:rsidP="008D27E7">
            <w:pPr>
              <w:pStyle w:val="TableHeader"/>
            </w:pPr>
            <w:r w:rsidRPr="00640D01">
              <w:t>NOx Budget (Tons/Day)</w:t>
            </w:r>
          </w:p>
        </w:tc>
        <w:tc>
          <w:tcPr>
            <w:tcW w:w="1619" w:type="dxa"/>
            <w:tcBorders>
              <w:left w:val="single" w:sz="4" w:space="0" w:color="FFFFFF" w:themeColor="background1"/>
              <w:right w:val="single" w:sz="4" w:space="0" w:color="FFFFFF" w:themeColor="background1"/>
            </w:tcBorders>
            <w:shd w:val="clear" w:color="auto" w:fill="002060"/>
            <w:vAlign w:val="center"/>
          </w:tcPr>
          <w:p w14:paraId="466F4092" w14:textId="21D21B4D" w:rsidR="008D27E7" w:rsidRPr="00640D01" w:rsidRDefault="008D27E7" w:rsidP="008D27E7">
            <w:pPr>
              <w:pStyle w:val="TableHeader"/>
            </w:pPr>
            <w:r w:rsidRPr="00640D01">
              <w:t>NOx (Tons/Day)</w:t>
            </w:r>
          </w:p>
        </w:tc>
        <w:tc>
          <w:tcPr>
            <w:tcW w:w="1619" w:type="dxa"/>
            <w:tcBorders>
              <w:left w:val="single" w:sz="4" w:space="0" w:color="FFFFFF" w:themeColor="background1"/>
              <w:right w:val="single" w:sz="4" w:space="0" w:color="FFFFFF" w:themeColor="background1"/>
            </w:tcBorders>
            <w:shd w:val="clear" w:color="auto" w:fill="002060"/>
            <w:vAlign w:val="center"/>
          </w:tcPr>
          <w:p w14:paraId="2B15CEA7" w14:textId="1EA8CE6B" w:rsidR="008D27E7" w:rsidRPr="00640D01" w:rsidRDefault="008D27E7" w:rsidP="008D27E7">
            <w:pPr>
              <w:pStyle w:val="TableHeader"/>
            </w:pPr>
            <w:r w:rsidRPr="00640D01">
              <w:t>VOC (Tons/Day)</w:t>
            </w:r>
          </w:p>
        </w:tc>
        <w:tc>
          <w:tcPr>
            <w:tcW w:w="1620" w:type="dxa"/>
            <w:tcBorders>
              <w:left w:val="single" w:sz="4" w:space="0" w:color="FFFFFF" w:themeColor="background1"/>
            </w:tcBorders>
            <w:shd w:val="clear" w:color="auto" w:fill="002060"/>
            <w:vAlign w:val="center"/>
          </w:tcPr>
          <w:p w14:paraId="350D05F8" w14:textId="1787972F" w:rsidR="008D27E7" w:rsidRPr="00640D01" w:rsidRDefault="008D27E7" w:rsidP="008D27E7">
            <w:pPr>
              <w:pStyle w:val="TableHeader"/>
            </w:pPr>
            <w:r w:rsidRPr="00640D01">
              <w:t>VOC (Tons/Day)</w:t>
            </w:r>
          </w:p>
        </w:tc>
      </w:tr>
      <w:tr w:rsidR="008D27E7" w:rsidRPr="00640D01" w14:paraId="03AA2176" w14:textId="77777777" w:rsidTr="008D27E7">
        <w:trPr>
          <w:trHeight w:val="317"/>
        </w:trPr>
        <w:tc>
          <w:tcPr>
            <w:tcW w:w="1573" w:type="dxa"/>
            <w:vAlign w:val="center"/>
          </w:tcPr>
          <w:p w14:paraId="65D1DC5A" w14:textId="5EFADBE2" w:rsidR="008D27E7" w:rsidRPr="00640D01" w:rsidRDefault="008D27E7" w:rsidP="009D25C4">
            <w:pPr>
              <w:pStyle w:val="TableText"/>
              <w:rPr>
                <w:color w:val="7030A0"/>
              </w:rPr>
            </w:pPr>
          </w:p>
        </w:tc>
        <w:tc>
          <w:tcPr>
            <w:tcW w:w="1300" w:type="dxa"/>
          </w:tcPr>
          <w:p w14:paraId="5E5B4FF0" w14:textId="77777777" w:rsidR="008D27E7" w:rsidRPr="00640D01" w:rsidRDefault="008D27E7" w:rsidP="009D25C4">
            <w:pPr>
              <w:pStyle w:val="TableText"/>
              <w:rPr>
                <w:color w:val="7030A0"/>
              </w:rPr>
            </w:pPr>
          </w:p>
        </w:tc>
        <w:tc>
          <w:tcPr>
            <w:tcW w:w="1619" w:type="dxa"/>
            <w:vAlign w:val="center"/>
          </w:tcPr>
          <w:p w14:paraId="71B041DC" w14:textId="5FA1D453" w:rsidR="008D27E7" w:rsidRPr="00640D01" w:rsidRDefault="008D27E7" w:rsidP="009D25C4">
            <w:pPr>
              <w:pStyle w:val="TableText"/>
              <w:rPr>
                <w:color w:val="7030A0"/>
              </w:rPr>
            </w:pPr>
          </w:p>
        </w:tc>
        <w:tc>
          <w:tcPr>
            <w:tcW w:w="1619" w:type="dxa"/>
            <w:vAlign w:val="center"/>
          </w:tcPr>
          <w:p w14:paraId="3EFF4801" w14:textId="1E86EC11" w:rsidR="008D27E7" w:rsidRPr="00640D01" w:rsidRDefault="008D27E7" w:rsidP="009D25C4">
            <w:pPr>
              <w:pStyle w:val="TableText"/>
              <w:rPr>
                <w:color w:val="7030A0"/>
              </w:rPr>
            </w:pPr>
          </w:p>
        </w:tc>
        <w:tc>
          <w:tcPr>
            <w:tcW w:w="1619" w:type="dxa"/>
            <w:vAlign w:val="center"/>
          </w:tcPr>
          <w:p w14:paraId="37FE92B4" w14:textId="548F74F6" w:rsidR="008D27E7" w:rsidRPr="00640D01" w:rsidRDefault="008D27E7" w:rsidP="009D25C4">
            <w:pPr>
              <w:pStyle w:val="TableText"/>
              <w:rPr>
                <w:color w:val="7030A0"/>
              </w:rPr>
            </w:pPr>
          </w:p>
        </w:tc>
        <w:tc>
          <w:tcPr>
            <w:tcW w:w="1620" w:type="dxa"/>
            <w:vAlign w:val="center"/>
          </w:tcPr>
          <w:p w14:paraId="627A2A00" w14:textId="0DDF8F77" w:rsidR="008D27E7" w:rsidRPr="00640D01" w:rsidRDefault="008D27E7" w:rsidP="009D25C4">
            <w:pPr>
              <w:pStyle w:val="TableText"/>
              <w:rPr>
                <w:color w:val="7030A0"/>
              </w:rPr>
            </w:pPr>
          </w:p>
        </w:tc>
      </w:tr>
      <w:tr w:rsidR="008D27E7" w:rsidRPr="00640D01" w14:paraId="3B337778" w14:textId="77777777" w:rsidTr="008D27E7">
        <w:trPr>
          <w:trHeight w:val="317"/>
        </w:trPr>
        <w:tc>
          <w:tcPr>
            <w:tcW w:w="1573" w:type="dxa"/>
            <w:vAlign w:val="center"/>
          </w:tcPr>
          <w:p w14:paraId="4B28AAD5" w14:textId="08EC7F75" w:rsidR="008D27E7" w:rsidRPr="00640D01" w:rsidRDefault="008D27E7" w:rsidP="009D25C4">
            <w:pPr>
              <w:pStyle w:val="TableText"/>
              <w:rPr>
                <w:color w:val="7030A0"/>
              </w:rPr>
            </w:pPr>
          </w:p>
        </w:tc>
        <w:tc>
          <w:tcPr>
            <w:tcW w:w="1300" w:type="dxa"/>
          </w:tcPr>
          <w:p w14:paraId="2DC21076" w14:textId="77777777" w:rsidR="008D27E7" w:rsidRPr="00640D01" w:rsidRDefault="008D27E7" w:rsidP="009D25C4">
            <w:pPr>
              <w:pStyle w:val="TableText"/>
              <w:rPr>
                <w:color w:val="7030A0"/>
              </w:rPr>
            </w:pPr>
          </w:p>
        </w:tc>
        <w:tc>
          <w:tcPr>
            <w:tcW w:w="1619" w:type="dxa"/>
            <w:vAlign w:val="center"/>
          </w:tcPr>
          <w:p w14:paraId="0D359219" w14:textId="70169795" w:rsidR="008D27E7" w:rsidRPr="00640D01" w:rsidRDefault="008D27E7" w:rsidP="009D25C4">
            <w:pPr>
              <w:pStyle w:val="TableText"/>
              <w:rPr>
                <w:color w:val="7030A0"/>
              </w:rPr>
            </w:pPr>
          </w:p>
        </w:tc>
        <w:tc>
          <w:tcPr>
            <w:tcW w:w="1619" w:type="dxa"/>
            <w:vAlign w:val="center"/>
          </w:tcPr>
          <w:p w14:paraId="722E8BA3" w14:textId="3E169F05" w:rsidR="008D27E7" w:rsidRPr="00640D01" w:rsidRDefault="008D27E7" w:rsidP="009D25C4">
            <w:pPr>
              <w:pStyle w:val="TableText"/>
              <w:rPr>
                <w:color w:val="7030A0"/>
              </w:rPr>
            </w:pPr>
          </w:p>
        </w:tc>
        <w:tc>
          <w:tcPr>
            <w:tcW w:w="1619" w:type="dxa"/>
            <w:vAlign w:val="center"/>
          </w:tcPr>
          <w:p w14:paraId="6945D170" w14:textId="1B1CE1FE" w:rsidR="008D27E7" w:rsidRPr="00640D01" w:rsidRDefault="008D27E7" w:rsidP="009D25C4">
            <w:pPr>
              <w:pStyle w:val="TableText"/>
              <w:rPr>
                <w:color w:val="7030A0"/>
              </w:rPr>
            </w:pPr>
          </w:p>
        </w:tc>
        <w:tc>
          <w:tcPr>
            <w:tcW w:w="1620" w:type="dxa"/>
            <w:vAlign w:val="center"/>
          </w:tcPr>
          <w:p w14:paraId="7EAFD962" w14:textId="58D26942" w:rsidR="008D27E7" w:rsidRPr="00640D01" w:rsidRDefault="008D27E7" w:rsidP="009D25C4">
            <w:pPr>
              <w:pStyle w:val="TableText"/>
              <w:rPr>
                <w:color w:val="7030A0"/>
              </w:rPr>
            </w:pPr>
          </w:p>
        </w:tc>
      </w:tr>
      <w:tr w:rsidR="008D27E7" w:rsidRPr="00640D01" w14:paraId="1D7A017B" w14:textId="77777777" w:rsidTr="008D27E7">
        <w:trPr>
          <w:trHeight w:val="317"/>
        </w:trPr>
        <w:tc>
          <w:tcPr>
            <w:tcW w:w="1573" w:type="dxa"/>
            <w:vAlign w:val="center"/>
          </w:tcPr>
          <w:p w14:paraId="67613907" w14:textId="66874BFA" w:rsidR="008D27E7" w:rsidRPr="00640D01" w:rsidRDefault="008D27E7" w:rsidP="009D25C4">
            <w:pPr>
              <w:pStyle w:val="TableText"/>
              <w:rPr>
                <w:color w:val="7030A0"/>
              </w:rPr>
            </w:pPr>
          </w:p>
        </w:tc>
        <w:tc>
          <w:tcPr>
            <w:tcW w:w="1300" w:type="dxa"/>
          </w:tcPr>
          <w:p w14:paraId="2058EC88" w14:textId="77777777" w:rsidR="008D27E7" w:rsidRPr="00640D01" w:rsidRDefault="008D27E7" w:rsidP="009D25C4">
            <w:pPr>
              <w:pStyle w:val="TableText"/>
              <w:rPr>
                <w:color w:val="7030A0"/>
              </w:rPr>
            </w:pPr>
          </w:p>
        </w:tc>
        <w:tc>
          <w:tcPr>
            <w:tcW w:w="1619" w:type="dxa"/>
            <w:vAlign w:val="center"/>
          </w:tcPr>
          <w:p w14:paraId="18367508" w14:textId="08FE56E9" w:rsidR="008D27E7" w:rsidRPr="00640D01" w:rsidRDefault="008D27E7" w:rsidP="009D25C4">
            <w:pPr>
              <w:pStyle w:val="TableText"/>
              <w:rPr>
                <w:color w:val="7030A0"/>
              </w:rPr>
            </w:pPr>
          </w:p>
        </w:tc>
        <w:tc>
          <w:tcPr>
            <w:tcW w:w="1619" w:type="dxa"/>
            <w:vAlign w:val="center"/>
          </w:tcPr>
          <w:p w14:paraId="17D5BBD4" w14:textId="629FBD08" w:rsidR="008D27E7" w:rsidRPr="00640D01" w:rsidRDefault="008D27E7" w:rsidP="009D25C4">
            <w:pPr>
              <w:pStyle w:val="TableText"/>
              <w:rPr>
                <w:color w:val="7030A0"/>
              </w:rPr>
            </w:pPr>
          </w:p>
        </w:tc>
        <w:tc>
          <w:tcPr>
            <w:tcW w:w="1619" w:type="dxa"/>
            <w:vAlign w:val="center"/>
          </w:tcPr>
          <w:p w14:paraId="13F9E292" w14:textId="4C548C86" w:rsidR="008D27E7" w:rsidRPr="00640D01" w:rsidRDefault="008D27E7" w:rsidP="009D25C4">
            <w:pPr>
              <w:pStyle w:val="TableText"/>
              <w:rPr>
                <w:color w:val="7030A0"/>
              </w:rPr>
            </w:pPr>
          </w:p>
        </w:tc>
        <w:tc>
          <w:tcPr>
            <w:tcW w:w="1620" w:type="dxa"/>
            <w:vAlign w:val="center"/>
          </w:tcPr>
          <w:p w14:paraId="7D937846" w14:textId="73E25144" w:rsidR="008D27E7" w:rsidRPr="00640D01" w:rsidRDefault="008D27E7" w:rsidP="009D25C4">
            <w:pPr>
              <w:pStyle w:val="TableText"/>
              <w:rPr>
                <w:color w:val="7030A0"/>
              </w:rPr>
            </w:pPr>
          </w:p>
        </w:tc>
      </w:tr>
      <w:tr w:rsidR="008D27E7" w:rsidRPr="00640D01" w14:paraId="149037D8" w14:textId="77777777" w:rsidTr="008D27E7">
        <w:trPr>
          <w:trHeight w:val="317"/>
        </w:trPr>
        <w:tc>
          <w:tcPr>
            <w:tcW w:w="1573" w:type="dxa"/>
            <w:vAlign w:val="center"/>
          </w:tcPr>
          <w:p w14:paraId="6C977C76" w14:textId="774BA90C" w:rsidR="008D27E7" w:rsidRPr="00640D01" w:rsidRDefault="008D27E7" w:rsidP="009D25C4">
            <w:pPr>
              <w:pStyle w:val="TableText"/>
              <w:rPr>
                <w:color w:val="7030A0"/>
              </w:rPr>
            </w:pPr>
          </w:p>
        </w:tc>
        <w:tc>
          <w:tcPr>
            <w:tcW w:w="1300" w:type="dxa"/>
          </w:tcPr>
          <w:p w14:paraId="0279DA46" w14:textId="77777777" w:rsidR="008D27E7" w:rsidRPr="00640D01" w:rsidRDefault="008D27E7" w:rsidP="009D25C4">
            <w:pPr>
              <w:pStyle w:val="TableText"/>
              <w:rPr>
                <w:color w:val="7030A0"/>
              </w:rPr>
            </w:pPr>
          </w:p>
        </w:tc>
        <w:tc>
          <w:tcPr>
            <w:tcW w:w="1619" w:type="dxa"/>
            <w:vAlign w:val="center"/>
          </w:tcPr>
          <w:p w14:paraId="67D32E01" w14:textId="0E76E69D" w:rsidR="008D27E7" w:rsidRPr="00640D01" w:rsidRDefault="008D27E7" w:rsidP="009D25C4">
            <w:pPr>
              <w:pStyle w:val="TableText"/>
              <w:rPr>
                <w:color w:val="7030A0"/>
              </w:rPr>
            </w:pPr>
          </w:p>
        </w:tc>
        <w:tc>
          <w:tcPr>
            <w:tcW w:w="1619" w:type="dxa"/>
            <w:vAlign w:val="center"/>
          </w:tcPr>
          <w:p w14:paraId="0A8E9E3A" w14:textId="0783130E" w:rsidR="008D27E7" w:rsidRPr="00640D01" w:rsidRDefault="008D27E7" w:rsidP="009D25C4">
            <w:pPr>
              <w:pStyle w:val="TableText"/>
              <w:rPr>
                <w:color w:val="7030A0"/>
              </w:rPr>
            </w:pPr>
          </w:p>
        </w:tc>
        <w:tc>
          <w:tcPr>
            <w:tcW w:w="1619" w:type="dxa"/>
            <w:vAlign w:val="center"/>
          </w:tcPr>
          <w:p w14:paraId="7DF51B1B" w14:textId="514CB9DC" w:rsidR="008D27E7" w:rsidRPr="00640D01" w:rsidRDefault="008D27E7" w:rsidP="009D25C4">
            <w:pPr>
              <w:pStyle w:val="TableText"/>
              <w:rPr>
                <w:color w:val="7030A0"/>
              </w:rPr>
            </w:pPr>
          </w:p>
        </w:tc>
        <w:tc>
          <w:tcPr>
            <w:tcW w:w="1620" w:type="dxa"/>
            <w:vAlign w:val="center"/>
          </w:tcPr>
          <w:p w14:paraId="1C58C527" w14:textId="6F7AB3B3" w:rsidR="008D27E7" w:rsidRPr="00640D01" w:rsidRDefault="008D27E7" w:rsidP="009D25C4">
            <w:pPr>
              <w:pStyle w:val="TableText"/>
              <w:rPr>
                <w:color w:val="7030A0"/>
              </w:rPr>
            </w:pPr>
          </w:p>
        </w:tc>
      </w:tr>
    </w:tbl>
    <w:p w14:paraId="3922EE2D" w14:textId="77777777" w:rsidR="004B4C9C" w:rsidRPr="00640D01" w:rsidRDefault="004B4C9C" w:rsidP="00176A31">
      <w:pPr>
        <w:spacing w:after="0" w:line="240" w:lineRule="auto"/>
      </w:pPr>
    </w:p>
    <w:p w14:paraId="19100D19" w14:textId="7A9C3B15" w:rsidR="00F6000F" w:rsidRPr="00640D01" w:rsidRDefault="00000000" w:rsidP="00176A31">
      <w:pPr>
        <w:pStyle w:val="BodyTextBold"/>
      </w:pPr>
      <w:sdt>
        <w:sdtPr>
          <w:id w:val="1497145042"/>
          <w14:checkbox>
            <w14:checked w14:val="0"/>
            <w14:checkedState w14:val="2612" w14:font="MS Gothic"/>
            <w14:uncheckedState w14:val="2610" w14:font="MS Gothic"/>
          </w14:checkbox>
        </w:sdtPr>
        <w:sdtContent>
          <w:r w:rsidR="00F6000F" w:rsidRPr="00640D01">
            <w:rPr>
              <w:rFonts w:ascii="MS Gothic" w:eastAsia="MS Gothic" w:hAnsi="MS Gothic"/>
            </w:rPr>
            <w:t>☐</w:t>
          </w:r>
        </w:sdtContent>
      </w:sdt>
      <w:r w:rsidR="00F6000F" w:rsidRPr="00640D01">
        <w:t xml:space="preserve"> </w:t>
      </w:r>
      <w:r w:rsidR="00D71BDA">
        <w:t>Table 6-</w:t>
      </w:r>
      <w:r w:rsidR="00514311">
        <w:t>3</w:t>
      </w:r>
      <w:r w:rsidR="00D71BDA">
        <w:t xml:space="preserve">. </w:t>
      </w:r>
      <w:r w:rsidR="00F6000F" w:rsidRPr="00640D01">
        <w:t>For moderate and above ozone nonattainment areas without an adequate or approved SIP MVEB(s)</w:t>
      </w:r>
    </w:p>
    <w:tbl>
      <w:tblPr>
        <w:tblStyle w:val="TableGrid"/>
        <w:tblW w:w="0" w:type="auto"/>
        <w:tblBorders>
          <w:left w:val="single" w:sz="4" w:space="0" w:color="FFFFFF" w:themeColor="background1"/>
          <w:right w:val="single" w:sz="4" w:space="0" w:color="FFFFFF" w:themeColor="background1"/>
        </w:tblBorders>
        <w:tblCellMar>
          <w:top w:w="29" w:type="dxa"/>
          <w:bottom w:w="29" w:type="dxa"/>
        </w:tblCellMar>
        <w:tblLook w:val="04A0" w:firstRow="1" w:lastRow="0" w:firstColumn="1" w:lastColumn="0" w:noHBand="0" w:noVBand="1"/>
      </w:tblPr>
      <w:tblGrid>
        <w:gridCol w:w="1199"/>
        <w:gridCol w:w="1362"/>
        <w:gridCol w:w="1697"/>
        <w:gridCol w:w="1697"/>
        <w:gridCol w:w="1697"/>
        <w:gridCol w:w="1698"/>
      </w:tblGrid>
      <w:tr w:rsidR="008D27E7" w:rsidRPr="00640D01" w14:paraId="7558C2B0" w14:textId="77777777" w:rsidTr="008D27E7">
        <w:trPr>
          <w:trHeight w:val="317"/>
          <w:tblHeader/>
        </w:trPr>
        <w:tc>
          <w:tcPr>
            <w:tcW w:w="1199" w:type="dxa"/>
            <w:tcBorders>
              <w:right w:val="single" w:sz="4" w:space="0" w:color="FFFFFF" w:themeColor="background1"/>
            </w:tcBorders>
            <w:shd w:val="clear" w:color="auto" w:fill="002060"/>
            <w:vAlign w:val="center"/>
          </w:tcPr>
          <w:p w14:paraId="114806F1" w14:textId="77777777" w:rsidR="008D27E7" w:rsidRPr="00640D01" w:rsidRDefault="008D27E7" w:rsidP="008D27E7">
            <w:pPr>
              <w:pStyle w:val="TableHeader"/>
            </w:pPr>
            <w:r w:rsidRPr="00640D01">
              <w:t>Analysis Year</w:t>
            </w:r>
          </w:p>
        </w:tc>
        <w:tc>
          <w:tcPr>
            <w:tcW w:w="1362" w:type="dxa"/>
            <w:tcBorders>
              <w:left w:val="single" w:sz="4" w:space="0" w:color="FFFFFF" w:themeColor="background1"/>
              <w:right w:val="single" w:sz="4" w:space="0" w:color="FFFFFF" w:themeColor="background1"/>
            </w:tcBorders>
            <w:shd w:val="clear" w:color="auto" w:fill="002060"/>
            <w:vAlign w:val="center"/>
          </w:tcPr>
          <w:p w14:paraId="436EEA52" w14:textId="72F108F2" w:rsidR="008D27E7" w:rsidRPr="00640D01" w:rsidRDefault="008D27E7" w:rsidP="008D27E7">
            <w:pPr>
              <w:pStyle w:val="TableHeader"/>
            </w:pPr>
            <w:r>
              <w:t>VMT</w:t>
            </w:r>
          </w:p>
        </w:tc>
        <w:tc>
          <w:tcPr>
            <w:tcW w:w="1697" w:type="dxa"/>
            <w:tcBorders>
              <w:left w:val="single" w:sz="4" w:space="0" w:color="FFFFFF" w:themeColor="background1"/>
              <w:right w:val="single" w:sz="4" w:space="0" w:color="FFFFFF" w:themeColor="background1"/>
            </w:tcBorders>
            <w:shd w:val="clear" w:color="auto" w:fill="002060"/>
            <w:vAlign w:val="center"/>
          </w:tcPr>
          <w:p w14:paraId="133F0121" w14:textId="3083981A" w:rsidR="008D27E7" w:rsidRPr="00640D01" w:rsidRDefault="008D27E7" w:rsidP="008D27E7">
            <w:pPr>
              <w:pStyle w:val="TableHeader"/>
            </w:pPr>
            <w:r w:rsidRPr="00640D01">
              <w:t>NOx Build (Action) Including CMAQ (Tons/Day)</w:t>
            </w:r>
          </w:p>
        </w:tc>
        <w:tc>
          <w:tcPr>
            <w:tcW w:w="1697" w:type="dxa"/>
            <w:tcBorders>
              <w:left w:val="single" w:sz="4" w:space="0" w:color="FFFFFF" w:themeColor="background1"/>
              <w:right w:val="single" w:sz="4" w:space="0" w:color="FFFFFF" w:themeColor="background1"/>
            </w:tcBorders>
            <w:shd w:val="clear" w:color="auto" w:fill="002060"/>
            <w:vAlign w:val="center"/>
          </w:tcPr>
          <w:p w14:paraId="731AFD97" w14:textId="0469C80B" w:rsidR="008D27E7" w:rsidRPr="00640D01" w:rsidRDefault="008D27E7" w:rsidP="008D27E7">
            <w:pPr>
              <w:pStyle w:val="TableHeader"/>
            </w:pPr>
            <w:r w:rsidRPr="00640D01">
              <w:t>NOx No-Build (Baseline) (Tons/Day)</w:t>
            </w:r>
          </w:p>
        </w:tc>
        <w:tc>
          <w:tcPr>
            <w:tcW w:w="1697" w:type="dxa"/>
            <w:tcBorders>
              <w:left w:val="single" w:sz="4" w:space="0" w:color="FFFFFF" w:themeColor="background1"/>
              <w:right w:val="single" w:sz="4" w:space="0" w:color="FFFFFF" w:themeColor="background1"/>
            </w:tcBorders>
            <w:shd w:val="clear" w:color="auto" w:fill="002060"/>
            <w:vAlign w:val="center"/>
          </w:tcPr>
          <w:p w14:paraId="6D7F894E" w14:textId="3CF51BFF" w:rsidR="008D27E7" w:rsidRPr="00640D01" w:rsidRDefault="008D27E7" w:rsidP="008D27E7">
            <w:pPr>
              <w:pStyle w:val="TableHeader"/>
            </w:pPr>
            <w:r w:rsidRPr="00640D01">
              <w:t>VOC Build (Action) Including CMAQ (Tons/Day)</w:t>
            </w:r>
          </w:p>
        </w:tc>
        <w:tc>
          <w:tcPr>
            <w:tcW w:w="1698" w:type="dxa"/>
            <w:tcBorders>
              <w:left w:val="single" w:sz="4" w:space="0" w:color="FFFFFF" w:themeColor="background1"/>
            </w:tcBorders>
            <w:shd w:val="clear" w:color="auto" w:fill="002060"/>
            <w:vAlign w:val="center"/>
          </w:tcPr>
          <w:p w14:paraId="50C3747D" w14:textId="44FD8A09" w:rsidR="008D27E7" w:rsidRPr="00640D01" w:rsidRDefault="008D27E7" w:rsidP="008D27E7">
            <w:pPr>
              <w:pStyle w:val="TableHeader"/>
            </w:pPr>
            <w:r w:rsidRPr="00640D01">
              <w:t>VOC No-Build (Baseline) (Tons/Day)</w:t>
            </w:r>
          </w:p>
        </w:tc>
      </w:tr>
      <w:tr w:rsidR="008D27E7" w:rsidRPr="00640D01" w14:paraId="0A77B2F6" w14:textId="77777777" w:rsidTr="008D27E7">
        <w:trPr>
          <w:trHeight w:val="317"/>
        </w:trPr>
        <w:tc>
          <w:tcPr>
            <w:tcW w:w="1199" w:type="dxa"/>
            <w:vAlign w:val="center"/>
          </w:tcPr>
          <w:p w14:paraId="6931CDA0" w14:textId="16A2F23B" w:rsidR="008D27E7" w:rsidRPr="00640D01" w:rsidRDefault="008D27E7" w:rsidP="008D27E7">
            <w:pPr>
              <w:pStyle w:val="TableText"/>
              <w:rPr>
                <w:color w:val="7030A0"/>
              </w:rPr>
            </w:pPr>
          </w:p>
        </w:tc>
        <w:tc>
          <w:tcPr>
            <w:tcW w:w="1362" w:type="dxa"/>
            <w:vAlign w:val="center"/>
          </w:tcPr>
          <w:p w14:paraId="1B670B1C" w14:textId="77777777" w:rsidR="008D27E7" w:rsidRPr="00640D01" w:rsidRDefault="008D27E7" w:rsidP="008D27E7">
            <w:pPr>
              <w:pStyle w:val="TableText"/>
              <w:rPr>
                <w:color w:val="7030A0"/>
              </w:rPr>
            </w:pPr>
          </w:p>
        </w:tc>
        <w:tc>
          <w:tcPr>
            <w:tcW w:w="1697" w:type="dxa"/>
            <w:vAlign w:val="center"/>
          </w:tcPr>
          <w:p w14:paraId="36AA5E59" w14:textId="11203391" w:rsidR="008D27E7" w:rsidRPr="00640D01" w:rsidRDefault="008D27E7" w:rsidP="008D27E7">
            <w:pPr>
              <w:pStyle w:val="TableText"/>
              <w:rPr>
                <w:color w:val="7030A0"/>
              </w:rPr>
            </w:pPr>
          </w:p>
        </w:tc>
        <w:tc>
          <w:tcPr>
            <w:tcW w:w="1697" w:type="dxa"/>
            <w:vAlign w:val="center"/>
          </w:tcPr>
          <w:p w14:paraId="40F25366" w14:textId="0E9518DF" w:rsidR="008D27E7" w:rsidRPr="00640D01" w:rsidRDefault="008D27E7" w:rsidP="008D27E7">
            <w:pPr>
              <w:pStyle w:val="TableText"/>
              <w:rPr>
                <w:color w:val="7030A0"/>
              </w:rPr>
            </w:pPr>
          </w:p>
        </w:tc>
        <w:tc>
          <w:tcPr>
            <w:tcW w:w="1697" w:type="dxa"/>
            <w:vAlign w:val="center"/>
          </w:tcPr>
          <w:p w14:paraId="2B764C71" w14:textId="6EECD430" w:rsidR="008D27E7" w:rsidRPr="00640D01" w:rsidRDefault="008D27E7" w:rsidP="008D27E7">
            <w:pPr>
              <w:pStyle w:val="TableText"/>
              <w:rPr>
                <w:color w:val="7030A0"/>
              </w:rPr>
            </w:pPr>
          </w:p>
        </w:tc>
        <w:tc>
          <w:tcPr>
            <w:tcW w:w="1698" w:type="dxa"/>
            <w:vAlign w:val="center"/>
          </w:tcPr>
          <w:p w14:paraId="745F6377" w14:textId="6E5C887B" w:rsidR="008D27E7" w:rsidRPr="00640D01" w:rsidRDefault="008D27E7" w:rsidP="008D27E7">
            <w:pPr>
              <w:pStyle w:val="TableText"/>
              <w:rPr>
                <w:color w:val="7030A0"/>
              </w:rPr>
            </w:pPr>
          </w:p>
        </w:tc>
      </w:tr>
      <w:tr w:rsidR="008D27E7" w:rsidRPr="00640D01" w14:paraId="02223D7B" w14:textId="77777777" w:rsidTr="008D27E7">
        <w:trPr>
          <w:trHeight w:val="317"/>
        </w:trPr>
        <w:tc>
          <w:tcPr>
            <w:tcW w:w="1199" w:type="dxa"/>
            <w:vAlign w:val="center"/>
          </w:tcPr>
          <w:p w14:paraId="2D193C0B" w14:textId="04337583" w:rsidR="008D27E7" w:rsidRPr="00640D01" w:rsidRDefault="008D27E7" w:rsidP="008D27E7">
            <w:pPr>
              <w:pStyle w:val="TableText"/>
              <w:rPr>
                <w:color w:val="7030A0"/>
              </w:rPr>
            </w:pPr>
          </w:p>
        </w:tc>
        <w:tc>
          <w:tcPr>
            <w:tcW w:w="1362" w:type="dxa"/>
            <w:vAlign w:val="center"/>
          </w:tcPr>
          <w:p w14:paraId="3E590576" w14:textId="77777777" w:rsidR="008D27E7" w:rsidRPr="00640D01" w:rsidRDefault="008D27E7" w:rsidP="008D27E7">
            <w:pPr>
              <w:pStyle w:val="TableText"/>
              <w:rPr>
                <w:color w:val="7030A0"/>
              </w:rPr>
            </w:pPr>
          </w:p>
        </w:tc>
        <w:tc>
          <w:tcPr>
            <w:tcW w:w="1697" w:type="dxa"/>
            <w:vAlign w:val="center"/>
          </w:tcPr>
          <w:p w14:paraId="3C214012" w14:textId="5B21E4F2" w:rsidR="008D27E7" w:rsidRPr="00640D01" w:rsidRDefault="008D27E7" w:rsidP="008D27E7">
            <w:pPr>
              <w:pStyle w:val="TableText"/>
              <w:rPr>
                <w:color w:val="7030A0"/>
              </w:rPr>
            </w:pPr>
          </w:p>
        </w:tc>
        <w:tc>
          <w:tcPr>
            <w:tcW w:w="1697" w:type="dxa"/>
            <w:vAlign w:val="center"/>
          </w:tcPr>
          <w:p w14:paraId="62A3D6B7" w14:textId="0943581A" w:rsidR="008D27E7" w:rsidRPr="00640D01" w:rsidRDefault="008D27E7" w:rsidP="008D27E7">
            <w:pPr>
              <w:pStyle w:val="TableText"/>
              <w:rPr>
                <w:color w:val="7030A0"/>
              </w:rPr>
            </w:pPr>
          </w:p>
        </w:tc>
        <w:tc>
          <w:tcPr>
            <w:tcW w:w="1697" w:type="dxa"/>
            <w:vAlign w:val="center"/>
          </w:tcPr>
          <w:p w14:paraId="42712510" w14:textId="12F983D6" w:rsidR="008D27E7" w:rsidRPr="00640D01" w:rsidRDefault="008D27E7" w:rsidP="008D27E7">
            <w:pPr>
              <w:pStyle w:val="TableText"/>
              <w:rPr>
                <w:color w:val="7030A0"/>
              </w:rPr>
            </w:pPr>
          </w:p>
        </w:tc>
        <w:tc>
          <w:tcPr>
            <w:tcW w:w="1698" w:type="dxa"/>
            <w:vAlign w:val="center"/>
          </w:tcPr>
          <w:p w14:paraId="09A7B6F3" w14:textId="4155C87F" w:rsidR="008D27E7" w:rsidRPr="00640D01" w:rsidRDefault="008D27E7" w:rsidP="008D27E7">
            <w:pPr>
              <w:pStyle w:val="TableText"/>
              <w:rPr>
                <w:color w:val="7030A0"/>
              </w:rPr>
            </w:pPr>
          </w:p>
        </w:tc>
      </w:tr>
      <w:tr w:rsidR="008D27E7" w:rsidRPr="00640D01" w14:paraId="4456683A" w14:textId="77777777" w:rsidTr="008D27E7">
        <w:trPr>
          <w:trHeight w:val="317"/>
        </w:trPr>
        <w:tc>
          <w:tcPr>
            <w:tcW w:w="1199" w:type="dxa"/>
            <w:vAlign w:val="center"/>
          </w:tcPr>
          <w:p w14:paraId="2A26976E" w14:textId="452FDF48" w:rsidR="008D27E7" w:rsidRPr="00640D01" w:rsidRDefault="008D27E7" w:rsidP="008D27E7">
            <w:pPr>
              <w:pStyle w:val="TableText"/>
              <w:rPr>
                <w:color w:val="7030A0"/>
              </w:rPr>
            </w:pPr>
          </w:p>
        </w:tc>
        <w:tc>
          <w:tcPr>
            <w:tcW w:w="1362" w:type="dxa"/>
            <w:vAlign w:val="center"/>
          </w:tcPr>
          <w:p w14:paraId="627BA3A7" w14:textId="77777777" w:rsidR="008D27E7" w:rsidRPr="00640D01" w:rsidRDefault="008D27E7" w:rsidP="008D27E7">
            <w:pPr>
              <w:pStyle w:val="TableText"/>
              <w:rPr>
                <w:color w:val="7030A0"/>
              </w:rPr>
            </w:pPr>
          </w:p>
        </w:tc>
        <w:tc>
          <w:tcPr>
            <w:tcW w:w="1697" w:type="dxa"/>
            <w:vAlign w:val="center"/>
          </w:tcPr>
          <w:p w14:paraId="258C31DA" w14:textId="783348C5" w:rsidR="008D27E7" w:rsidRPr="00640D01" w:rsidRDefault="008D27E7" w:rsidP="008D27E7">
            <w:pPr>
              <w:pStyle w:val="TableText"/>
              <w:rPr>
                <w:color w:val="7030A0"/>
              </w:rPr>
            </w:pPr>
          </w:p>
        </w:tc>
        <w:tc>
          <w:tcPr>
            <w:tcW w:w="1697" w:type="dxa"/>
            <w:vAlign w:val="center"/>
          </w:tcPr>
          <w:p w14:paraId="0E613856" w14:textId="40E49ADD" w:rsidR="008D27E7" w:rsidRPr="00640D01" w:rsidRDefault="008D27E7" w:rsidP="008D27E7">
            <w:pPr>
              <w:pStyle w:val="TableText"/>
              <w:rPr>
                <w:color w:val="7030A0"/>
              </w:rPr>
            </w:pPr>
          </w:p>
        </w:tc>
        <w:tc>
          <w:tcPr>
            <w:tcW w:w="1697" w:type="dxa"/>
            <w:vAlign w:val="center"/>
          </w:tcPr>
          <w:p w14:paraId="42BB014D" w14:textId="114C8DB2" w:rsidR="008D27E7" w:rsidRPr="00640D01" w:rsidRDefault="008D27E7" w:rsidP="008D27E7">
            <w:pPr>
              <w:pStyle w:val="TableText"/>
              <w:rPr>
                <w:color w:val="7030A0"/>
              </w:rPr>
            </w:pPr>
          </w:p>
        </w:tc>
        <w:tc>
          <w:tcPr>
            <w:tcW w:w="1698" w:type="dxa"/>
            <w:vAlign w:val="center"/>
          </w:tcPr>
          <w:p w14:paraId="1B2DBA72" w14:textId="0B748CDC" w:rsidR="008D27E7" w:rsidRPr="00640D01" w:rsidRDefault="008D27E7" w:rsidP="008D27E7">
            <w:pPr>
              <w:pStyle w:val="TableText"/>
              <w:rPr>
                <w:color w:val="7030A0"/>
              </w:rPr>
            </w:pPr>
          </w:p>
        </w:tc>
      </w:tr>
      <w:tr w:rsidR="008D27E7" w:rsidRPr="00640D01" w14:paraId="26C5E8EC" w14:textId="77777777" w:rsidTr="008D27E7">
        <w:trPr>
          <w:trHeight w:val="317"/>
        </w:trPr>
        <w:tc>
          <w:tcPr>
            <w:tcW w:w="1199" w:type="dxa"/>
            <w:vAlign w:val="center"/>
          </w:tcPr>
          <w:p w14:paraId="3041450E" w14:textId="5895ABF0" w:rsidR="008D27E7" w:rsidRPr="00640D01" w:rsidRDefault="008D27E7" w:rsidP="008D27E7">
            <w:pPr>
              <w:pStyle w:val="TableText"/>
              <w:rPr>
                <w:color w:val="7030A0"/>
              </w:rPr>
            </w:pPr>
          </w:p>
        </w:tc>
        <w:tc>
          <w:tcPr>
            <w:tcW w:w="1362" w:type="dxa"/>
            <w:vAlign w:val="center"/>
          </w:tcPr>
          <w:p w14:paraId="5013964F" w14:textId="77777777" w:rsidR="008D27E7" w:rsidRPr="00640D01" w:rsidRDefault="008D27E7" w:rsidP="008D27E7">
            <w:pPr>
              <w:pStyle w:val="TableText"/>
              <w:rPr>
                <w:color w:val="7030A0"/>
              </w:rPr>
            </w:pPr>
          </w:p>
        </w:tc>
        <w:tc>
          <w:tcPr>
            <w:tcW w:w="1697" w:type="dxa"/>
            <w:vAlign w:val="center"/>
          </w:tcPr>
          <w:p w14:paraId="5302E80D" w14:textId="3C4221B3" w:rsidR="008D27E7" w:rsidRPr="00640D01" w:rsidRDefault="008D27E7" w:rsidP="008D27E7">
            <w:pPr>
              <w:pStyle w:val="TableText"/>
              <w:rPr>
                <w:color w:val="7030A0"/>
              </w:rPr>
            </w:pPr>
          </w:p>
        </w:tc>
        <w:tc>
          <w:tcPr>
            <w:tcW w:w="1697" w:type="dxa"/>
            <w:vAlign w:val="center"/>
          </w:tcPr>
          <w:p w14:paraId="318D1CE1" w14:textId="43862AA6" w:rsidR="008D27E7" w:rsidRPr="00640D01" w:rsidRDefault="008D27E7" w:rsidP="008D27E7">
            <w:pPr>
              <w:pStyle w:val="TableText"/>
              <w:rPr>
                <w:color w:val="7030A0"/>
              </w:rPr>
            </w:pPr>
          </w:p>
        </w:tc>
        <w:tc>
          <w:tcPr>
            <w:tcW w:w="1697" w:type="dxa"/>
            <w:vAlign w:val="center"/>
          </w:tcPr>
          <w:p w14:paraId="0D99BBA2" w14:textId="66CF8DF7" w:rsidR="008D27E7" w:rsidRPr="00640D01" w:rsidRDefault="008D27E7" w:rsidP="008D27E7">
            <w:pPr>
              <w:pStyle w:val="TableText"/>
              <w:rPr>
                <w:color w:val="7030A0"/>
              </w:rPr>
            </w:pPr>
          </w:p>
        </w:tc>
        <w:tc>
          <w:tcPr>
            <w:tcW w:w="1698" w:type="dxa"/>
            <w:vAlign w:val="center"/>
          </w:tcPr>
          <w:p w14:paraId="5DBFEBCC" w14:textId="6C8FE19F" w:rsidR="008D27E7" w:rsidRPr="00640D01" w:rsidRDefault="008D27E7" w:rsidP="008D27E7">
            <w:pPr>
              <w:pStyle w:val="TableText"/>
              <w:rPr>
                <w:color w:val="7030A0"/>
              </w:rPr>
            </w:pPr>
          </w:p>
        </w:tc>
      </w:tr>
      <w:tr w:rsidR="008D27E7" w:rsidRPr="00640D01" w14:paraId="716E1DFC" w14:textId="77777777" w:rsidTr="008D27E7">
        <w:trPr>
          <w:trHeight w:val="317"/>
        </w:trPr>
        <w:tc>
          <w:tcPr>
            <w:tcW w:w="1199" w:type="dxa"/>
            <w:vAlign w:val="center"/>
          </w:tcPr>
          <w:p w14:paraId="27584EB3" w14:textId="00F20DC7" w:rsidR="008D27E7" w:rsidRPr="00640D01" w:rsidRDefault="008D27E7" w:rsidP="008D27E7">
            <w:pPr>
              <w:pStyle w:val="TableText"/>
              <w:rPr>
                <w:color w:val="7030A0"/>
              </w:rPr>
            </w:pPr>
          </w:p>
        </w:tc>
        <w:tc>
          <w:tcPr>
            <w:tcW w:w="1362" w:type="dxa"/>
            <w:vAlign w:val="center"/>
          </w:tcPr>
          <w:p w14:paraId="5E85DCB7" w14:textId="77777777" w:rsidR="008D27E7" w:rsidRPr="00640D01" w:rsidRDefault="008D27E7" w:rsidP="008D27E7">
            <w:pPr>
              <w:pStyle w:val="TableText"/>
              <w:rPr>
                <w:color w:val="7030A0"/>
              </w:rPr>
            </w:pPr>
          </w:p>
        </w:tc>
        <w:tc>
          <w:tcPr>
            <w:tcW w:w="1697" w:type="dxa"/>
            <w:vAlign w:val="center"/>
          </w:tcPr>
          <w:p w14:paraId="01CFF023" w14:textId="1A7A3D14" w:rsidR="008D27E7" w:rsidRPr="00640D01" w:rsidRDefault="008D27E7" w:rsidP="008D27E7">
            <w:pPr>
              <w:pStyle w:val="TableText"/>
              <w:rPr>
                <w:color w:val="7030A0"/>
              </w:rPr>
            </w:pPr>
          </w:p>
        </w:tc>
        <w:tc>
          <w:tcPr>
            <w:tcW w:w="1697" w:type="dxa"/>
            <w:vAlign w:val="center"/>
          </w:tcPr>
          <w:p w14:paraId="213C30A7" w14:textId="6F82F0C8" w:rsidR="008D27E7" w:rsidRPr="00640D01" w:rsidRDefault="008D27E7" w:rsidP="008D27E7">
            <w:pPr>
              <w:pStyle w:val="TableText"/>
              <w:rPr>
                <w:color w:val="7030A0"/>
              </w:rPr>
            </w:pPr>
          </w:p>
        </w:tc>
        <w:tc>
          <w:tcPr>
            <w:tcW w:w="1697" w:type="dxa"/>
            <w:vAlign w:val="center"/>
          </w:tcPr>
          <w:p w14:paraId="1D234A84" w14:textId="4FA7B2CB" w:rsidR="008D27E7" w:rsidRPr="00640D01" w:rsidRDefault="008D27E7" w:rsidP="008D27E7">
            <w:pPr>
              <w:pStyle w:val="TableText"/>
              <w:rPr>
                <w:color w:val="7030A0"/>
              </w:rPr>
            </w:pPr>
          </w:p>
        </w:tc>
        <w:tc>
          <w:tcPr>
            <w:tcW w:w="1698" w:type="dxa"/>
            <w:vAlign w:val="center"/>
          </w:tcPr>
          <w:p w14:paraId="6DEE7E3F" w14:textId="7B6AEA33" w:rsidR="008D27E7" w:rsidRPr="00640D01" w:rsidRDefault="008D27E7" w:rsidP="008D27E7">
            <w:pPr>
              <w:pStyle w:val="TableText"/>
              <w:rPr>
                <w:color w:val="7030A0"/>
              </w:rPr>
            </w:pPr>
          </w:p>
        </w:tc>
      </w:tr>
    </w:tbl>
    <w:p w14:paraId="703251A9" w14:textId="77777777" w:rsidR="00F6000F" w:rsidRPr="00640D01" w:rsidRDefault="00F6000F" w:rsidP="00176A31">
      <w:pPr>
        <w:spacing w:after="0" w:line="240" w:lineRule="auto"/>
      </w:pPr>
    </w:p>
    <w:p w14:paraId="7CB0D8EE" w14:textId="1CE01CF1" w:rsidR="004B4C9C" w:rsidRPr="00640D01" w:rsidRDefault="00BE174A" w:rsidP="009D25C4">
      <w:pPr>
        <w:pStyle w:val="BodyText"/>
      </w:pPr>
      <w:r w:rsidRPr="00640D01">
        <w:t xml:space="preserve">Determine the emissions </w:t>
      </w:r>
      <w:r w:rsidR="00F6000F" w:rsidRPr="00640D01">
        <w:t xml:space="preserve">reduction in each year by taking the difference between the </w:t>
      </w:r>
      <w:r w:rsidR="00BA5186" w:rsidRPr="00640D01">
        <w:t>a</w:t>
      </w:r>
      <w:r w:rsidR="00F6000F" w:rsidRPr="00640D01">
        <w:t xml:space="preserve">ction and </w:t>
      </w:r>
      <w:r w:rsidR="00BA5186" w:rsidRPr="00640D01">
        <w:t>b</w:t>
      </w:r>
      <w:r w:rsidR="00F6000F" w:rsidRPr="00640D01">
        <w:t>aseline</w:t>
      </w:r>
      <w:r w:rsidRPr="00640D01">
        <w:t xml:space="preserve"> </w:t>
      </w:r>
      <w:r w:rsidR="00F6000F" w:rsidRPr="00640D01">
        <w:t xml:space="preserve">scenarios. In order to demonstrate conformity, the </w:t>
      </w:r>
      <w:r w:rsidR="00BA5186" w:rsidRPr="00640D01">
        <w:t>a</w:t>
      </w:r>
      <w:r w:rsidR="00F6000F" w:rsidRPr="00640D01">
        <w:t xml:space="preserve">ction scenario must be below the </w:t>
      </w:r>
      <w:r w:rsidR="00BA5186" w:rsidRPr="00640D01">
        <w:t>b</w:t>
      </w:r>
      <w:r w:rsidR="00F6000F" w:rsidRPr="00640D01">
        <w:t xml:space="preserve">aseline scenario by a non-zero amount, which for the purposes of regional conformity is </w:t>
      </w:r>
      <w:r w:rsidR="00F6000F" w:rsidRPr="00640D01">
        <w:rPr>
          <w:color w:val="7030A0"/>
        </w:rPr>
        <w:t>[</w:t>
      </w:r>
      <w:r w:rsidR="00F6000F" w:rsidRPr="00640D01">
        <w:rPr>
          <w:b/>
          <w:bCs/>
          <w:color w:val="7030A0"/>
        </w:rPr>
        <w:t>tons</w:t>
      </w:r>
      <w:r w:rsidR="00F6000F" w:rsidRPr="00640D01">
        <w:rPr>
          <w:color w:val="7030A0"/>
        </w:rPr>
        <w:t xml:space="preserve"> </w:t>
      </w:r>
      <w:r w:rsidRPr="00640D01">
        <w:rPr>
          <w:color w:val="7030A0"/>
        </w:rPr>
        <w:t>(</w:t>
      </w:r>
      <w:r w:rsidR="00F6000F" w:rsidRPr="00640D01">
        <w:rPr>
          <w:color w:val="7030A0"/>
        </w:rPr>
        <w:t>e.g., 0.01</w:t>
      </w:r>
      <w:r w:rsidRPr="00640D01">
        <w:rPr>
          <w:color w:val="7030A0"/>
        </w:rPr>
        <w:t>)</w:t>
      </w:r>
      <w:r w:rsidR="00F6000F" w:rsidRPr="00640D01">
        <w:rPr>
          <w:color w:val="7030A0"/>
        </w:rPr>
        <w:t xml:space="preserve">] </w:t>
      </w:r>
      <w:r w:rsidR="00F6000F" w:rsidRPr="00640D01">
        <w:t>tons per day.</w:t>
      </w:r>
    </w:p>
    <w:p w14:paraId="51EFCC0B" w14:textId="03D806BB" w:rsidR="003516E8" w:rsidRPr="00640D01" w:rsidRDefault="003516E8">
      <w:pPr>
        <w:spacing w:after="160" w:line="259" w:lineRule="auto"/>
      </w:pPr>
      <w:r w:rsidRPr="00640D01">
        <w:br w:type="page"/>
      </w:r>
    </w:p>
    <w:p w14:paraId="024CA2A3" w14:textId="7BBA6789" w:rsidR="00E4791A" w:rsidRPr="00640D01" w:rsidRDefault="00E4791A" w:rsidP="00861F03">
      <w:pPr>
        <w:pStyle w:val="Heading1"/>
      </w:pPr>
      <w:bookmarkStart w:id="137" w:name="_Toc190242736"/>
      <w:r w:rsidRPr="00640D01">
        <w:lastRenderedPageBreak/>
        <w:t>Interagency Consultation</w:t>
      </w:r>
      <w:bookmarkEnd w:id="137"/>
      <w:r w:rsidRPr="00640D01">
        <w:t xml:space="preserve"> </w:t>
      </w:r>
    </w:p>
    <w:p w14:paraId="7DE41A05" w14:textId="6AD777EA" w:rsidR="00D8037A" w:rsidRPr="00640D01" w:rsidRDefault="00D71BDA" w:rsidP="00494DA4">
      <w:pPr>
        <w:pStyle w:val="BodyText"/>
      </w:pPr>
      <w:r>
        <w:t xml:space="preserve">Regulation </w:t>
      </w:r>
      <w:hyperlink r:id="rId42" w:anchor=":~:text=CFR-,%C2%A7%2093.112%20Criteria%20and%20procedures%3A%20Consultation.,with%2023%20CFR%20part%20450." w:history="1">
        <w:r w:rsidR="00F91724" w:rsidRPr="00640D01">
          <w:rPr>
            <w:rStyle w:val="Hyperlink"/>
          </w:rPr>
          <w:t>40 CFR 93.112</w:t>
        </w:r>
      </w:hyperlink>
      <w:r w:rsidR="00F91724" w:rsidRPr="00640D01">
        <w:t xml:space="preserve"> of the conformity rule includes procedures for interagency consultation, resolution of conflict, and public consultation of the conformity analysis affecting the </w:t>
      </w:r>
      <w:r w:rsidR="00D457A8" w:rsidRPr="00640D01">
        <w:t>MTP and TIP</w:t>
      </w:r>
      <w:r w:rsidR="00F91724" w:rsidRPr="00640D01">
        <w:t>.</w:t>
      </w:r>
      <w:r w:rsidR="00D8037A" w:rsidRPr="00640D01">
        <w:t xml:space="preserve"> Local, state, and federal transportation and air quality agencies affected by this conformity analysis were consulted on the scope, methodologies, and products of the conformity finding. </w:t>
      </w:r>
      <w:r w:rsidR="00103BC4" w:rsidRPr="00640D01">
        <w:t>A conformity steering committee</w:t>
      </w:r>
      <w:r w:rsidR="007964CE" w:rsidRPr="00640D01">
        <w:t xml:space="preserve"> </w:t>
      </w:r>
      <w:r w:rsidR="00103BC4" w:rsidRPr="00640D01">
        <w:t>composed of representatives</w:t>
      </w:r>
      <w:r w:rsidR="00D8037A" w:rsidRPr="00640D01">
        <w:t xml:space="preserve"> from </w:t>
      </w:r>
      <w:sdt>
        <w:sdtPr>
          <w:alias w:val="Select MPO"/>
          <w:tag w:val="Select MPO"/>
          <w:id w:val="1628971832"/>
          <w:placeholder>
            <w:docPart w:val="64E42A19BE004BCBA2524E7D3439AA25"/>
          </w:placeholder>
          <w:showingPlcHdr/>
          <w:dropDownList>
            <w:listItem w:value="Choose an item."/>
            <w:listItem w:displayText="AAMPO" w:value="AAMPO"/>
            <w:listItem w:displayText="El Paso MPO" w:value="El Paso MPO"/>
            <w:listItem w:displayText="H-GAC" w:value="H-GAC"/>
            <w:listItem w:displayText="NCTCOG" w:value="NCTCOG"/>
            <w:listItem w:displayText="SETRPC" w:value="SETRPC"/>
          </w:dropDownList>
        </w:sdtPr>
        <w:sdtContent>
          <w:r w:rsidR="00B82961" w:rsidRPr="00640D01">
            <w:rPr>
              <w:rStyle w:val="Style2"/>
            </w:rPr>
            <w:t>[</w:t>
          </w:r>
          <w:r w:rsidR="00B82961" w:rsidRPr="00640D01">
            <w:rPr>
              <w:b/>
              <w:bCs/>
              <w:color w:val="C00000"/>
            </w:rPr>
            <w:t>MPO Name]</w:t>
          </w:r>
        </w:sdtContent>
      </w:sdt>
      <w:r w:rsidR="00B82961" w:rsidRPr="00640D01">
        <w:t xml:space="preserve">, </w:t>
      </w:r>
      <w:r w:rsidR="0013059A" w:rsidRPr="00640D01">
        <w:t>TxDOT, TCEQ, TTI, FHWA, FTA</w:t>
      </w:r>
      <w:r w:rsidR="00BA5186" w:rsidRPr="00640D01">
        <w:t>,</w:t>
      </w:r>
      <w:r w:rsidR="007255CB" w:rsidRPr="00640D01">
        <w:rPr>
          <w:rStyle w:val="FootnoteReference"/>
        </w:rPr>
        <w:footnoteReference w:id="10"/>
      </w:r>
      <w:r w:rsidR="0013059A" w:rsidRPr="00640D01">
        <w:t xml:space="preserve"> and EPA</w:t>
      </w:r>
      <w:r w:rsidR="007964CE" w:rsidRPr="00640D01">
        <w:t xml:space="preserve"> was consulted regularly during the conformity process</w:t>
      </w:r>
      <w:r w:rsidR="0013059A" w:rsidRPr="00640D01">
        <w:t>.</w:t>
      </w:r>
      <w:r w:rsidR="0098671D" w:rsidRPr="00640D01">
        <w:t xml:space="preserve"> The purpose of this group is to ensure the modeling methodology </w:t>
      </w:r>
      <w:r w:rsidR="00494DA4" w:rsidRPr="00640D01">
        <w:t xml:space="preserve">used </w:t>
      </w:r>
      <w:r w:rsidR="0098671D" w:rsidRPr="00640D01">
        <w:t xml:space="preserve">in this conformity analysis is consistent with the on-road modeling </w:t>
      </w:r>
      <w:r w:rsidR="00494DA4" w:rsidRPr="00640D01">
        <w:t xml:space="preserve">used </w:t>
      </w:r>
      <w:r w:rsidR="0098671D" w:rsidRPr="00640D01">
        <w:t xml:space="preserve">in the </w:t>
      </w:r>
      <w:r w:rsidR="00A46D73" w:rsidRPr="00640D01">
        <w:t>SIP</w:t>
      </w:r>
      <w:r w:rsidR="0098671D" w:rsidRPr="00640D01">
        <w:t xml:space="preserve"> and that the most recent planning assumptions were used.</w:t>
      </w:r>
    </w:p>
    <w:p w14:paraId="440FFB01" w14:textId="416215E6" w:rsidR="00D65484" w:rsidRPr="00640D01" w:rsidRDefault="00494DA4" w:rsidP="00255CDC">
      <w:r w:rsidRPr="00640D01">
        <w:t xml:space="preserve">Appendix </w:t>
      </w:r>
      <w:r w:rsidR="00BA5186" w:rsidRPr="00640D01">
        <w:t xml:space="preserve">Section </w:t>
      </w:r>
      <w:r w:rsidRPr="00640D01">
        <w:fldChar w:fldCharType="begin"/>
      </w:r>
      <w:r w:rsidRPr="00640D01">
        <w:instrText xml:space="preserve"> REF _Ref159507851 \h  \* MERGEFORMAT </w:instrText>
      </w:r>
      <w:r w:rsidRPr="00640D01">
        <w:fldChar w:fldCharType="separate"/>
      </w:r>
      <w:r w:rsidR="00514311" w:rsidRPr="00640D01">
        <w:t>F.2 Consultation Review and Meeting Summary</w:t>
      </w:r>
      <w:r w:rsidRPr="00640D01">
        <w:fldChar w:fldCharType="end"/>
      </w:r>
      <w:r w:rsidRPr="00640D01">
        <w:t xml:space="preserve"> provides a</w:t>
      </w:r>
      <w:r w:rsidR="00D65484" w:rsidRPr="00640D01">
        <w:t xml:space="preserve"> comprehensive list of the </w:t>
      </w:r>
      <w:r w:rsidR="007964CE" w:rsidRPr="00640D01">
        <w:t>steering committee’s</w:t>
      </w:r>
      <w:r w:rsidR="00D65484" w:rsidRPr="00640D01">
        <w:t xml:space="preserve"> meeting agenda and decisions.</w:t>
      </w:r>
    </w:p>
    <w:p w14:paraId="329E6CF7" w14:textId="52174840" w:rsidR="00B230C5" w:rsidRPr="00640D01" w:rsidRDefault="00B230C5" w:rsidP="00D8037A">
      <w:pPr>
        <w:pStyle w:val="ListParagraph"/>
        <w:numPr>
          <w:ilvl w:val="0"/>
          <w:numId w:val="31"/>
        </w:numPr>
        <w:spacing w:after="160" w:line="259" w:lineRule="auto"/>
        <w:rPr>
          <w:rFonts w:ascii="Times New Roman Bold" w:eastAsiaTheme="majorEastAsia" w:hAnsi="Times New Roman Bold" w:cstheme="majorBidi"/>
          <w:b/>
          <w:caps/>
          <w:szCs w:val="32"/>
        </w:rPr>
      </w:pPr>
      <w:r w:rsidRPr="00640D01">
        <w:br w:type="page"/>
      </w:r>
    </w:p>
    <w:p w14:paraId="1F9EF2B7" w14:textId="4A8A319F" w:rsidR="00E4791A" w:rsidRPr="00640D01" w:rsidRDefault="00E4791A" w:rsidP="00861F03">
      <w:pPr>
        <w:pStyle w:val="Heading1"/>
      </w:pPr>
      <w:bookmarkStart w:id="138" w:name="_Toc190242737"/>
      <w:r w:rsidRPr="00640D01">
        <w:lastRenderedPageBreak/>
        <w:t>Public Involvement</w:t>
      </w:r>
      <w:bookmarkEnd w:id="138"/>
    </w:p>
    <w:p w14:paraId="0C95ACCC" w14:textId="1CF2C14B" w:rsidR="00817C67" w:rsidRPr="00640D01" w:rsidRDefault="00D17EF3" w:rsidP="00494DA4">
      <w:pPr>
        <w:pStyle w:val="BodyText"/>
      </w:pPr>
      <w:r w:rsidRPr="00640D01">
        <w:t>Public participation is recognized as an integral part of the planning process.</w:t>
      </w:r>
      <w:r w:rsidR="0090485E" w:rsidRPr="00640D01">
        <w:t xml:space="preserve"> The public participation process for </w:t>
      </w:r>
      <w:r w:rsidR="002047C8" w:rsidRPr="00640D01">
        <w:t xml:space="preserve">transportation conformity </w:t>
      </w:r>
      <w:r w:rsidR="0090485E" w:rsidRPr="00640D01">
        <w:t>and other transportation plans, projects, and policies includes timely public notice, full public access to technical and policy information, opportunities for early and continuing involvement, and explicit consideration and response to public input.</w:t>
      </w:r>
    </w:p>
    <w:p w14:paraId="37E0F84E" w14:textId="3FA97789" w:rsidR="00DF1DB0" w:rsidRPr="00640D01" w:rsidRDefault="00817C67" w:rsidP="00494DA4">
      <w:pPr>
        <w:pStyle w:val="BodyText"/>
      </w:pPr>
      <w:r w:rsidRPr="00640D01">
        <w:t xml:space="preserve">Public participation strategies and procedures are designed to inform the public </w:t>
      </w:r>
      <w:r w:rsidR="00684C90" w:rsidRPr="00640D01">
        <w:t>about</w:t>
      </w:r>
      <w:r w:rsidRPr="00640D01">
        <w:t xml:space="preserve"> transportation and air quality issues, provide opportunities to involve the public in the decision-making process</w:t>
      </w:r>
      <w:r w:rsidR="002047C8" w:rsidRPr="00640D01">
        <w:t>,</w:t>
      </w:r>
      <w:r w:rsidRPr="00640D01">
        <w:t xml:space="preserve"> and seek public and stakeholder input. Additionally, this process builds support among the public who are stakeholders in transportation investments. Public views and opinions are included in the final </w:t>
      </w:r>
      <w:r w:rsidR="002C333B" w:rsidRPr="00640D01">
        <w:t>RTP/</w:t>
      </w:r>
      <w:r w:rsidRPr="00640D01">
        <w:t xml:space="preserve">MTP and </w:t>
      </w:r>
      <w:r w:rsidR="00DF1DB0" w:rsidRPr="00640D01">
        <w:t>TIP documents</w:t>
      </w:r>
      <w:r w:rsidRPr="00640D01">
        <w:t>.</w:t>
      </w:r>
    </w:p>
    <w:p w14:paraId="3D90A0F9" w14:textId="0F15CD55" w:rsidR="00F339BB" w:rsidRPr="00640D01" w:rsidRDefault="00F339BB" w:rsidP="00494DA4">
      <w:pPr>
        <w:pStyle w:val="BodyText"/>
      </w:pPr>
      <w:r w:rsidRPr="00640D01">
        <w:t>Generally, each meeting consisted of an overview presentation, a question-and-answer session, an open house for viewing exhibits and gathering more information, and various avenues for submitting public comment</w:t>
      </w:r>
      <w:r w:rsidR="00684C90" w:rsidRPr="00640D01">
        <w:t>s</w:t>
      </w:r>
      <w:r w:rsidRPr="00640D01">
        <w:t xml:space="preserve">. </w:t>
      </w:r>
      <w:r w:rsidR="00DF1DB0" w:rsidRPr="00640D01">
        <w:t xml:space="preserve">All meetings began at </w:t>
      </w:r>
      <w:r w:rsidR="00502B73" w:rsidRPr="00640D01">
        <w:rPr>
          <w:color w:val="7030A0"/>
        </w:rPr>
        <w:t>[</w:t>
      </w:r>
      <w:r w:rsidR="00502B73" w:rsidRPr="00640D01">
        <w:rPr>
          <w:b/>
          <w:bCs/>
          <w:color w:val="7030A0"/>
        </w:rPr>
        <w:t>time</w:t>
      </w:r>
      <w:r w:rsidR="00502B73" w:rsidRPr="00640D01">
        <w:rPr>
          <w:color w:val="7030A0"/>
        </w:rPr>
        <w:t>]</w:t>
      </w:r>
      <w:r w:rsidR="00DF1DB0" w:rsidRPr="00640D01">
        <w:rPr>
          <w:color w:val="7030A0"/>
        </w:rPr>
        <w:t xml:space="preserve"> </w:t>
      </w:r>
      <w:r w:rsidR="00DF1DB0" w:rsidRPr="00640D01">
        <w:t xml:space="preserve">and were similar in content and format. The public meeting presentation was recorded and made available on </w:t>
      </w:r>
      <w:r w:rsidR="00502B73" w:rsidRPr="00640D01">
        <w:t>the MPO’s</w:t>
      </w:r>
      <w:r w:rsidR="00DF1DB0" w:rsidRPr="00640D01">
        <w:t xml:space="preserve"> website for public viewing and feedback. </w:t>
      </w:r>
      <w:r w:rsidR="002047C8" w:rsidRPr="00640D01">
        <w:fldChar w:fldCharType="begin"/>
      </w:r>
      <w:r w:rsidR="002047C8" w:rsidRPr="00640D01">
        <w:instrText xml:space="preserve"> REF _Ref152922831 \h  \* MERGEFORMAT </w:instrText>
      </w:r>
      <w:r w:rsidR="002047C8" w:rsidRPr="00640D01">
        <w:fldChar w:fldCharType="separate"/>
      </w:r>
      <w:r w:rsidR="00514311" w:rsidRPr="00640D01">
        <w:t xml:space="preserve">Table </w:t>
      </w:r>
      <w:r w:rsidR="00514311">
        <w:t>8</w:t>
      </w:r>
      <w:r w:rsidR="00514311">
        <w:noBreakHyphen/>
        <w:t>1</w:t>
      </w:r>
      <w:r w:rsidR="002047C8" w:rsidRPr="00640D01">
        <w:fldChar w:fldCharType="end"/>
      </w:r>
      <w:r w:rsidR="002047C8" w:rsidRPr="00640D01">
        <w:t xml:space="preserve"> provides t</w:t>
      </w:r>
      <w:r w:rsidR="00502B73" w:rsidRPr="00640D01">
        <w:t xml:space="preserve">he public meeting dates, </w:t>
      </w:r>
      <w:r w:rsidR="003034C1" w:rsidRPr="00640D01">
        <w:t>loc</w:t>
      </w:r>
      <w:r w:rsidR="00502B73" w:rsidRPr="00640D01">
        <w:t>ation</w:t>
      </w:r>
      <w:r w:rsidR="003034C1" w:rsidRPr="00640D01">
        <w:t xml:space="preserve"> addresses, and links</w:t>
      </w:r>
      <w:r w:rsidR="00502B73" w:rsidRPr="00640D01">
        <w:t xml:space="preserve"> </w:t>
      </w:r>
      <w:r w:rsidR="003034C1" w:rsidRPr="00640D01">
        <w:t>to the meeting’s agenda/recording</w:t>
      </w:r>
      <w:r w:rsidR="00534721" w:rsidRPr="00640D01">
        <w:t xml:space="preserve">. </w:t>
      </w:r>
    </w:p>
    <w:p w14:paraId="4D46EEE8" w14:textId="5A1947BB" w:rsidR="00534721" w:rsidRPr="00640D01" w:rsidRDefault="00534721" w:rsidP="00494DA4">
      <w:pPr>
        <w:pStyle w:val="TableCaption"/>
      </w:pPr>
      <w:bookmarkStart w:id="139" w:name="_Ref152922831"/>
      <w:bookmarkStart w:id="140" w:name="_Toc190183134"/>
      <w:r w:rsidRPr="00640D01">
        <w:t xml:space="preserve">Table </w:t>
      </w:r>
      <w:r w:rsidR="00514311">
        <w:fldChar w:fldCharType="begin"/>
      </w:r>
      <w:r w:rsidR="00514311">
        <w:instrText xml:space="preserve"> STYLEREF 1 \s </w:instrText>
      </w:r>
      <w:r w:rsidR="00514311">
        <w:fldChar w:fldCharType="separate"/>
      </w:r>
      <w:r w:rsidR="00514311">
        <w:rPr>
          <w:noProof/>
        </w:rPr>
        <w:t>8</w:t>
      </w:r>
      <w:r w:rsidR="00514311">
        <w:fldChar w:fldCharType="end"/>
      </w:r>
      <w:r w:rsidR="00514311">
        <w:noBreakHyphen/>
      </w:r>
      <w:r w:rsidR="00514311">
        <w:fldChar w:fldCharType="begin"/>
      </w:r>
      <w:r w:rsidR="00514311">
        <w:instrText xml:space="preserve"> SEQ Table \* ARABIC \s 1 </w:instrText>
      </w:r>
      <w:r w:rsidR="00514311">
        <w:fldChar w:fldCharType="separate"/>
      </w:r>
      <w:r w:rsidR="00514311">
        <w:rPr>
          <w:noProof/>
        </w:rPr>
        <w:t>1</w:t>
      </w:r>
      <w:r w:rsidR="00514311">
        <w:fldChar w:fldCharType="end"/>
      </w:r>
      <w:bookmarkEnd w:id="139"/>
      <w:r w:rsidRPr="00640D01">
        <w:t>. Public Involving Meeting Information</w:t>
      </w:r>
      <w:bookmarkEnd w:id="140"/>
    </w:p>
    <w:tbl>
      <w:tblPr>
        <w:tblStyle w:val="TableGrid"/>
        <w:tblW w:w="0" w:type="auto"/>
        <w:tblCellMar>
          <w:top w:w="29" w:type="dxa"/>
          <w:bottom w:w="29" w:type="dxa"/>
        </w:tblCellMar>
        <w:tblLook w:val="04A0" w:firstRow="1" w:lastRow="0" w:firstColumn="1" w:lastColumn="0" w:noHBand="0" w:noVBand="1"/>
      </w:tblPr>
      <w:tblGrid>
        <w:gridCol w:w="928"/>
        <w:gridCol w:w="1483"/>
        <w:gridCol w:w="2399"/>
        <w:gridCol w:w="4540"/>
      </w:tblGrid>
      <w:tr w:rsidR="00F339BB" w:rsidRPr="00640D01" w14:paraId="05B82FBC" w14:textId="77777777" w:rsidTr="00494DA4">
        <w:trPr>
          <w:trHeight w:val="317"/>
        </w:trPr>
        <w:tc>
          <w:tcPr>
            <w:tcW w:w="535" w:type="dxa"/>
            <w:tcBorders>
              <w:left w:val="single" w:sz="4" w:space="0" w:color="FFFFFF" w:themeColor="background1"/>
              <w:right w:val="single" w:sz="4" w:space="0" w:color="FFFFFF" w:themeColor="background1"/>
            </w:tcBorders>
            <w:shd w:val="clear" w:color="auto" w:fill="002060"/>
            <w:vAlign w:val="center"/>
          </w:tcPr>
          <w:p w14:paraId="62446EBB" w14:textId="64FFA9A8" w:rsidR="00F339BB" w:rsidRPr="00640D01" w:rsidRDefault="00494DA4" w:rsidP="00494DA4">
            <w:pPr>
              <w:pStyle w:val="TableHeader"/>
            </w:pPr>
            <w:r w:rsidRPr="00640D01">
              <w:t>Number</w:t>
            </w:r>
          </w:p>
        </w:tc>
        <w:tc>
          <w:tcPr>
            <w:tcW w:w="1530" w:type="dxa"/>
            <w:tcBorders>
              <w:left w:val="single" w:sz="4" w:space="0" w:color="FFFFFF" w:themeColor="background1"/>
              <w:right w:val="single" w:sz="4" w:space="0" w:color="FFFFFF" w:themeColor="background1"/>
            </w:tcBorders>
            <w:shd w:val="clear" w:color="auto" w:fill="002060"/>
            <w:vAlign w:val="center"/>
          </w:tcPr>
          <w:p w14:paraId="7658DE76" w14:textId="25113583" w:rsidR="00F339BB" w:rsidRPr="00640D01" w:rsidRDefault="006E4F3D" w:rsidP="00494DA4">
            <w:pPr>
              <w:pStyle w:val="TableHeader"/>
            </w:pPr>
            <w:r w:rsidRPr="00640D01">
              <w:t>Meeting Date</w:t>
            </w:r>
          </w:p>
        </w:tc>
        <w:tc>
          <w:tcPr>
            <w:tcW w:w="2520" w:type="dxa"/>
            <w:tcBorders>
              <w:left w:val="single" w:sz="4" w:space="0" w:color="FFFFFF" w:themeColor="background1"/>
              <w:right w:val="single" w:sz="4" w:space="0" w:color="FFFFFF" w:themeColor="background1"/>
            </w:tcBorders>
            <w:shd w:val="clear" w:color="auto" w:fill="002060"/>
            <w:vAlign w:val="center"/>
          </w:tcPr>
          <w:p w14:paraId="4A5B4F99" w14:textId="480B1FEC" w:rsidR="00F339BB" w:rsidRPr="00640D01" w:rsidRDefault="00F339BB" w:rsidP="00494DA4">
            <w:pPr>
              <w:pStyle w:val="TableHeader"/>
            </w:pPr>
            <w:r w:rsidRPr="00640D01">
              <w:t>Address</w:t>
            </w:r>
          </w:p>
        </w:tc>
        <w:tc>
          <w:tcPr>
            <w:tcW w:w="4765" w:type="dxa"/>
            <w:tcBorders>
              <w:left w:val="single" w:sz="4" w:space="0" w:color="FFFFFF" w:themeColor="background1"/>
              <w:right w:val="single" w:sz="4" w:space="0" w:color="FFFFFF" w:themeColor="background1"/>
            </w:tcBorders>
            <w:shd w:val="clear" w:color="auto" w:fill="002060"/>
            <w:vAlign w:val="center"/>
          </w:tcPr>
          <w:p w14:paraId="2C098ECE" w14:textId="7E2F3116" w:rsidR="00F339BB" w:rsidRPr="00640D01" w:rsidRDefault="00534721" w:rsidP="00494DA4">
            <w:pPr>
              <w:pStyle w:val="TableHeader"/>
            </w:pPr>
            <w:r w:rsidRPr="00640D01">
              <w:t xml:space="preserve">Link to </w:t>
            </w:r>
            <w:r w:rsidR="002047C8" w:rsidRPr="00640D01">
              <w:t>Meeting Agenda/Recording</w:t>
            </w:r>
          </w:p>
        </w:tc>
      </w:tr>
      <w:tr w:rsidR="00F339BB" w:rsidRPr="00640D01" w14:paraId="1C5FE6CF" w14:textId="77777777" w:rsidTr="00494DA4">
        <w:trPr>
          <w:trHeight w:val="317"/>
        </w:trPr>
        <w:tc>
          <w:tcPr>
            <w:tcW w:w="535" w:type="dxa"/>
            <w:tcBorders>
              <w:left w:val="single" w:sz="4" w:space="0" w:color="FFFFFF" w:themeColor="background1"/>
            </w:tcBorders>
            <w:vAlign w:val="center"/>
          </w:tcPr>
          <w:p w14:paraId="060BE9EF" w14:textId="50BF832F" w:rsidR="00F339BB" w:rsidRPr="00640D01" w:rsidRDefault="00F339BB" w:rsidP="00494DA4">
            <w:pPr>
              <w:pStyle w:val="TableText"/>
            </w:pPr>
            <w:r w:rsidRPr="00640D01">
              <w:t>1</w:t>
            </w:r>
          </w:p>
        </w:tc>
        <w:tc>
          <w:tcPr>
            <w:tcW w:w="1530" w:type="dxa"/>
            <w:vAlign w:val="center"/>
          </w:tcPr>
          <w:p w14:paraId="121A36DD" w14:textId="77777777" w:rsidR="00F339BB" w:rsidRPr="00640D01" w:rsidRDefault="00F339BB" w:rsidP="00494DA4">
            <w:pPr>
              <w:pStyle w:val="TableText"/>
            </w:pPr>
          </w:p>
        </w:tc>
        <w:tc>
          <w:tcPr>
            <w:tcW w:w="2520" w:type="dxa"/>
            <w:vAlign w:val="center"/>
          </w:tcPr>
          <w:p w14:paraId="12B7893D" w14:textId="152B3D10" w:rsidR="00F339BB" w:rsidRPr="00640D01" w:rsidRDefault="00A440B4" w:rsidP="00494DA4">
            <w:pPr>
              <w:pStyle w:val="TableText"/>
            </w:pPr>
            <w:r w:rsidRPr="00640D01">
              <w:rPr>
                <w:color w:val="7030A0"/>
              </w:rPr>
              <w:t>[</w:t>
            </w:r>
            <w:r w:rsidR="00056C21" w:rsidRPr="00176A31">
              <w:rPr>
                <w:b/>
                <w:bCs/>
                <w:color w:val="7030A0"/>
              </w:rPr>
              <w:t xml:space="preserve">Online: </w:t>
            </w:r>
            <w:r w:rsidR="002047C8" w:rsidRPr="00176A31">
              <w:rPr>
                <w:b/>
                <w:bCs/>
                <w:color w:val="7030A0"/>
              </w:rPr>
              <w:t xml:space="preserve">if </w:t>
            </w:r>
            <w:r w:rsidR="00684C90" w:rsidRPr="00176A31">
              <w:rPr>
                <w:b/>
                <w:bCs/>
                <w:color w:val="7030A0"/>
              </w:rPr>
              <w:t xml:space="preserve">the </w:t>
            </w:r>
            <w:r w:rsidRPr="00176A31">
              <w:rPr>
                <w:b/>
                <w:bCs/>
                <w:color w:val="7030A0"/>
              </w:rPr>
              <w:t>meeting is online</w:t>
            </w:r>
            <w:r w:rsidR="00056C21" w:rsidRPr="00640D01">
              <w:rPr>
                <w:color w:val="7030A0"/>
              </w:rPr>
              <w:t>]</w:t>
            </w:r>
          </w:p>
        </w:tc>
        <w:tc>
          <w:tcPr>
            <w:tcW w:w="4765" w:type="dxa"/>
            <w:tcBorders>
              <w:right w:val="single" w:sz="4" w:space="0" w:color="FFFFFF" w:themeColor="background1"/>
            </w:tcBorders>
            <w:vAlign w:val="center"/>
          </w:tcPr>
          <w:p w14:paraId="2618B18B" w14:textId="77777777" w:rsidR="00F339BB" w:rsidRPr="00640D01" w:rsidRDefault="00F339BB" w:rsidP="00494DA4">
            <w:pPr>
              <w:pStyle w:val="TableText"/>
            </w:pPr>
          </w:p>
        </w:tc>
      </w:tr>
      <w:tr w:rsidR="00F339BB" w:rsidRPr="00640D01" w14:paraId="4BCB2F42" w14:textId="77777777" w:rsidTr="00494DA4">
        <w:trPr>
          <w:trHeight w:val="317"/>
        </w:trPr>
        <w:tc>
          <w:tcPr>
            <w:tcW w:w="535" w:type="dxa"/>
            <w:tcBorders>
              <w:left w:val="single" w:sz="4" w:space="0" w:color="FFFFFF" w:themeColor="background1"/>
            </w:tcBorders>
            <w:vAlign w:val="center"/>
          </w:tcPr>
          <w:p w14:paraId="2626475A" w14:textId="5E188EF2" w:rsidR="00F339BB" w:rsidRPr="00640D01" w:rsidRDefault="00F339BB" w:rsidP="00494DA4">
            <w:pPr>
              <w:pStyle w:val="TableText"/>
            </w:pPr>
            <w:r w:rsidRPr="00640D01">
              <w:t>2</w:t>
            </w:r>
          </w:p>
        </w:tc>
        <w:tc>
          <w:tcPr>
            <w:tcW w:w="1530" w:type="dxa"/>
            <w:vAlign w:val="center"/>
          </w:tcPr>
          <w:p w14:paraId="258C0B5C" w14:textId="77777777" w:rsidR="00F339BB" w:rsidRPr="00640D01" w:rsidRDefault="00F339BB" w:rsidP="00494DA4">
            <w:pPr>
              <w:pStyle w:val="TableText"/>
            </w:pPr>
          </w:p>
        </w:tc>
        <w:tc>
          <w:tcPr>
            <w:tcW w:w="2520" w:type="dxa"/>
            <w:vAlign w:val="center"/>
          </w:tcPr>
          <w:p w14:paraId="089C7CBA" w14:textId="77777777" w:rsidR="00F339BB" w:rsidRPr="00640D01" w:rsidRDefault="00F339BB" w:rsidP="00494DA4">
            <w:pPr>
              <w:pStyle w:val="TableText"/>
            </w:pPr>
          </w:p>
        </w:tc>
        <w:tc>
          <w:tcPr>
            <w:tcW w:w="4765" w:type="dxa"/>
            <w:tcBorders>
              <w:right w:val="single" w:sz="4" w:space="0" w:color="FFFFFF" w:themeColor="background1"/>
            </w:tcBorders>
            <w:vAlign w:val="center"/>
          </w:tcPr>
          <w:p w14:paraId="766996CD" w14:textId="77777777" w:rsidR="00F339BB" w:rsidRPr="00640D01" w:rsidRDefault="00F339BB" w:rsidP="00494DA4">
            <w:pPr>
              <w:pStyle w:val="TableText"/>
            </w:pPr>
          </w:p>
        </w:tc>
      </w:tr>
    </w:tbl>
    <w:p w14:paraId="4B618BF9" w14:textId="77777777" w:rsidR="001E4B74" w:rsidRPr="00640D01" w:rsidRDefault="001E4B74" w:rsidP="00494DA4"/>
    <w:p w14:paraId="3CB0EF4B" w14:textId="50B001FD" w:rsidR="00494DA4" w:rsidRPr="00640D01" w:rsidRDefault="00D8118F" w:rsidP="00494DA4">
      <w:pPr>
        <w:pStyle w:val="BodyText"/>
      </w:pPr>
      <w:r w:rsidRPr="00640D01">
        <w:t xml:space="preserve">The public comment period began on </w:t>
      </w:r>
      <w:r w:rsidRPr="00176A31">
        <w:rPr>
          <w:color w:val="7030A0"/>
        </w:rPr>
        <w:t>[</w:t>
      </w:r>
      <w:r w:rsidRPr="00176A31">
        <w:rPr>
          <w:b/>
          <w:bCs/>
          <w:color w:val="7030A0"/>
        </w:rPr>
        <w:t>day of week, mm/dd/</w:t>
      </w:r>
      <w:r w:rsidR="0067406B" w:rsidRPr="00640D01">
        <w:rPr>
          <w:b/>
          <w:bCs/>
          <w:color w:val="7030A0"/>
        </w:rPr>
        <w:t>yy</w:t>
      </w:r>
      <w:r w:rsidRPr="00176A31">
        <w:rPr>
          <w:color w:val="7030A0"/>
        </w:rPr>
        <w:t>]</w:t>
      </w:r>
      <w:r w:rsidRPr="00176A31">
        <w:rPr>
          <w:b/>
          <w:bCs/>
          <w:color w:val="7030A0"/>
        </w:rPr>
        <w:t xml:space="preserve"> </w:t>
      </w:r>
      <w:r w:rsidRPr="00640D01">
        <w:t xml:space="preserve">and ended on </w:t>
      </w:r>
      <w:r w:rsidRPr="00176A31">
        <w:rPr>
          <w:color w:val="7030A0"/>
        </w:rPr>
        <w:t>[</w:t>
      </w:r>
      <w:r w:rsidRPr="00176A31">
        <w:rPr>
          <w:b/>
          <w:bCs/>
          <w:color w:val="7030A0"/>
        </w:rPr>
        <w:t>day of week, mm/dd/</w:t>
      </w:r>
      <w:r w:rsidR="0067406B" w:rsidRPr="00640D01">
        <w:rPr>
          <w:b/>
          <w:bCs/>
          <w:color w:val="7030A0"/>
        </w:rPr>
        <w:t>yy</w:t>
      </w:r>
      <w:r w:rsidRPr="00176A31">
        <w:rPr>
          <w:color w:val="7030A0"/>
        </w:rPr>
        <w:t>]</w:t>
      </w:r>
      <w:r w:rsidR="0067406B" w:rsidRPr="00640D01">
        <w:t xml:space="preserve"> </w:t>
      </w:r>
      <w:r w:rsidRPr="00640D01">
        <w:t xml:space="preserve">at 5:00 p.m. </w:t>
      </w:r>
      <w:r w:rsidR="001E4B74" w:rsidRPr="00640D01">
        <w:t xml:space="preserve">Public </w:t>
      </w:r>
      <w:r w:rsidR="00994E6E" w:rsidRPr="00640D01">
        <w:t>inputs</w:t>
      </w:r>
      <w:r w:rsidR="001E4B74" w:rsidRPr="00640D01">
        <w:t xml:space="preserve"> were collected via </w:t>
      </w:r>
      <w:r w:rsidR="001E4B74" w:rsidRPr="00176A31">
        <w:rPr>
          <w:color w:val="7030A0"/>
        </w:rPr>
        <w:t>[</w:t>
      </w:r>
      <w:r w:rsidR="001E4B74" w:rsidRPr="00176A31">
        <w:rPr>
          <w:b/>
          <w:bCs/>
          <w:color w:val="7030A0"/>
        </w:rPr>
        <w:t>method(s) to receive public comments</w:t>
      </w:r>
      <w:r w:rsidR="001E4B74" w:rsidRPr="00176A31">
        <w:rPr>
          <w:color w:val="7030A0"/>
        </w:rPr>
        <w:t xml:space="preserve"> </w:t>
      </w:r>
      <w:r w:rsidR="002047C8" w:rsidRPr="00640D01">
        <w:rPr>
          <w:color w:val="7030A0"/>
        </w:rPr>
        <w:t>(e</w:t>
      </w:r>
      <w:r w:rsidR="001E4B74" w:rsidRPr="00176A31">
        <w:rPr>
          <w:color w:val="7030A0"/>
        </w:rPr>
        <w:t xml:space="preserve">.g., comment cards at public meetings, an online participation exercise, emails, letters, and speaking opportunities </w:t>
      </w:r>
      <w:r w:rsidR="00994E6E" w:rsidRPr="00176A31">
        <w:rPr>
          <w:color w:val="7030A0"/>
        </w:rPr>
        <w:t>at</w:t>
      </w:r>
      <w:r w:rsidR="001E4B74" w:rsidRPr="00176A31">
        <w:rPr>
          <w:color w:val="7030A0"/>
        </w:rPr>
        <w:t xml:space="preserve"> </w:t>
      </w:r>
      <w:r w:rsidR="002047C8" w:rsidRPr="00640D01">
        <w:rPr>
          <w:color w:val="7030A0"/>
        </w:rPr>
        <w:t xml:space="preserve">technical committee and policy board </w:t>
      </w:r>
      <w:r w:rsidR="001E4B74" w:rsidRPr="00176A31">
        <w:rPr>
          <w:color w:val="7030A0"/>
        </w:rPr>
        <w:t>meetings</w:t>
      </w:r>
      <w:r w:rsidR="0067406B" w:rsidRPr="00640D01">
        <w:rPr>
          <w:color w:val="7030A0"/>
        </w:rPr>
        <w:t>)</w:t>
      </w:r>
      <w:r w:rsidR="00994E6E" w:rsidRPr="00176A31">
        <w:rPr>
          <w:color w:val="7030A0"/>
        </w:rPr>
        <w:t>]</w:t>
      </w:r>
      <w:r w:rsidR="00994E6E" w:rsidRPr="00640D01">
        <w:t xml:space="preserve">. In total, </w:t>
      </w:r>
      <w:r w:rsidR="00B87785" w:rsidRPr="00176A31">
        <w:rPr>
          <w:color w:val="7030A0"/>
        </w:rPr>
        <w:t>[</w:t>
      </w:r>
      <w:r w:rsidR="00B87785" w:rsidRPr="00176A31">
        <w:rPr>
          <w:b/>
          <w:bCs/>
          <w:color w:val="7030A0"/>
        </w:rPr>
        <w:t>number of comments</w:t>
      </w:r>
      <w:r w:rsidR="00B87785" w:rsidRPr="00176A31">
        <w:rPr>
          <w:color w:val="7030A0"/>
        </w:rPr>
        <w:t xml:space="preserve">] </w:t>
      </w:r>
      <w:r w:rsidR="00B87785" w:rsidRPr="00640D01">
        <w:t>comments were received.</w:t>
      </w:r>
      <w:r w:rsidR="006C2507" w:rsidRPr="00640D01">
        <w:t xml:space="preserve"> </w:t>
      </w:r>
      <w:r w:rsidR="002047C8" w:rsidRPr="00640D01">
        <w:t xml:space="preserve">Appendix </w:t>
      </w:r>
      <w:r w:rsidR="00BA5186" w:rsidRPr="00640D01">
        <w:t xml:space="preserve">Section </w:t>
      </w:r>
      <w:r w:rsidR="002047C8" w:rsidRPr="00640D01">
        <w:fldChar w:fldCharType="begin"/>
      </w:r>
      <w:r w:rsidR="002047C8" w:rsidRPr="00640D01">
        <w:instrText xml:space="preserve"> REF _Ref159507870 \h  \* MERGEFORMAT </w:instrText>
      </w:r>
      <w:r w:rsidR="002047C8" w:rsidRPr="00640D01">
        <w:fldChar w:fldCharType="separate"/>
      </w:r>
      <w:r w:rsidR="00514311" w:rsidRPr="00640D01">
        <w:t>G.1 Meeting I</w:t>
      </w:r>
      <w:r w:rsidR="002047C8" w:rsidRPr="00640D01">
        <w:fldChar w:fldCharType="end"/>
      </w:r>
      <w:r w:rsidR="002047C8" w:rsidRPr="00640D01">
        <w:t xml:space="preserve"> provides a</w:t>
      </w:r>
      <w:r w:rsidR="006C2507" w:rsidRPr="00640D01">
        <w:t xml:space="preserve"> full list of comments and the MPO’s responses, as well as presentations and outreach materials</w:t>
      </w:r>
      <w:r w:rsidR="002047C8" w:rsidRPr="00640D01">
        <w:t>.</w:t>
      </w:r>
    </w:p>
    <w:p w14:paraId="575051DB" w14:textId="175F4398" w:rsidR="0011731C" w:rsidRPr="00640D01" w:rsidRDefault="0011731C" w:rsidP="00494DA4">
      <w:pPr>
        <w:pStyle w:val="BodyText"/>
        <w:rPr>
          <w:rFonts w:ascii="Times New Roman Bold" w:eastAsiaTheme="majorEastAsia" w:hAnsi="Times New Roman Bold" w:cstheme="majorBidi"/>
          <w:b/>
          <w:caps/>
          <w:szCs w:val="32"/>
        </w:rPr>
      </w:pPr>
      <w:r w:rsidRPr="00640D01">
        <w:br w:type="page"/>
      </w:r>
    </w:p>
    <w:p w14:paraId="59566416" w14:textId="732BA452" w:rsidR="00E4791A" w:rsidRPr="00640D01" w:rsidRDefault="00E4791A" w:rsidP="00513F67">
      <w:pPr>
        <w:pStyle w:val="Heading1"/>
        <w:numPr>
          <w:ilvl w:val="0"/>
          <w:numId w:val="0"/>
        </w:numPr>
        <w:ind w:left="360" w:hanging="360"/>
      </w:pPr>
      <w:bookmarkStart w:id="141" w:name="_Ref159507592"/>
      <w:bookmarkStart w:id="142" w:name="_Ref159507597"/>
      <w:bookmarkStart w:id="143" w:name="_Toc190242738"/>
      <w:r w:rsidRPr="00640D01">
        <w:lastRenderedPageBreak/>
        <w:t>Appendix A</w:t>
      </w:r>
      <w:r w:rsidR="008753A7" w:rsidRPr="00640D01">
        <w:t>—</w:t>
      </w:r>
      <w:r w:rsidRPr="00640D01">
        <w:t>Resolution of Adoption</w:t>
      </w:r>
      <w:bookmarkEnd w:id="141"/>
      <w:bookmarkEnd w:id="142"/>
      <w:bookmarkEnd w:id="143"/>
    </w:p>
    <w:p w14:paraId="576D26F3" w14:textId="77777777" w:rsidR="00F276A4" w:rsidRPr="00640D01" w:rsidRDefault="00F276A4">
      <w:pPr>
        <w:spacing w:after="160" w:line="259" w:lineRule="auto"/>
        <w:rPr>
          <w:rFonts w:ascii="Times New Roman Bold" w:eastAsiaTheme="majorEastAsia" w:hAnsi="Times New Roman Bold" w:cstheme="majorBidi"/>
          <w:b/>
          <w:caps/>
          <w:color w:val="002060"/>
          <w:sz w:val="32"/>
          <w:szCs w:val="32"/>
        </w:rPr>
      </w:pPr>
      <w:r w:rsidRPr="00640D01">
        <w:br w:type="page"/>
      </w:r>
    </w:p>
    <w:p w14:paraId="5FF207C6" w14:textId="6EFE9259" w:rsidR="00F9056F" w:rsidRPr="00640D01" w:rsidRDefault="00E4791A" w:rsidP="00513F67">
      <w:pPr>
        <w:pStyle w:val="Heading1"/>
        <w:numPr>
          <w:ilvl w:val="0"/>
          <w:numId w:val="0"/>
        </w:numPr>
        <w:ind w:left="360" w:hanging="360"/>
      </w:pPr>
      <w:bookmarkStart w:id="144" w:name="_Ref159507005"/>
      <w:bookmarkStart w:id="145" w:name="_Ref159507006"/>
      <w:bookmarkStart w:id="146" w:name="_Toc190242739"/>
      <w:r w:rsidRPr="00640D01">
        <w:lastRenderedPageBreak/>
        <w:t>Appendix B</w:t>
      </w:r>
      <w:r w:rsidR="008753A7" w:rsidRPr="00640D01">
        <w:t>—</w:t>
      </w:r>
      <w:r w:rsidR="003778E5" w:rsidRPr="00640D01">
        <w:t>R</w:t>
      </w:r>
      <w:r w:rsidR="003D0EA8" w:rsidRPr="00640D01">
        <w:t>TP/MTP</w:t>
      </w:r>
      <w:bookmarkEnd w:id="144"/>
      <w:bookmarkEnd w:id="145"/>
      <w:bookmarkEnd w:id="146"/>
    </w:p>
    <w:p w14:paraId="624A855E" w14:textId="3F4A3E48" w:rsidR="00E4791A" w:rsidRPr="00640D01" w:rsidRDefault="00F9056F" w:rsidP="00DF6D1F">
      <w:pPr>
        <w:pStyle w:val="BodyText"/>
        <w:rPr>
          <w:b/>
          <w:bCs/>
          <w:color w:val="7030A0"/>
        </w:rPr>
      </w:pPr>
      <w:r w:rsidRPr="00176A31">
        <w:rPr>
          <w:color w:val="7030A0"/>
        </w:rPr>
        <w:t>[</w:t>
      </w:r>
      <w:r w:rsidRPr="00640D01">
        <w:rPr>
          <w:b/>
          <w:bCs/>
          <w:color w:val="7030A0"/>
        </w:rPr>
        <w:t>Include</w:t>
      </w:r>
      <w:r w:rsidR="00E4791A" w:rsidRPr="00640D01">
        <w:rPr>
          <w:b/>
          <w:bCs/>
          <w:color w:val="7030A0"/>
        </w:rPr>
        <w:t xml:space="preserve"> </w:t>
      </w:r>
      <w:r w:rsidR="00684C90" w:rsidRPr="00640D01">
        <w:rPr>
          <w:b/>
          <w:bCs/>
          <w:color w:val="7030A0"/>
        </w:rPr>
        <w:t xml:space="preserve">a </w:t>
      </w:r>
      <w:r w:rsidR="00E4791A" w:rsidRPr="00640D01">
        <w:rPr>
          <w:b/>
          <w:bCs/>
          <w:color w:val="7030A0"/>
        </w:rPr>
        <w:t>link</w:t>
      </w:r>
      <w:r w:rsidRPr="00640D01">
        <w:rPr>
          <w:b/>
          <w:bCs/>
          <w:color w:val="7030A0"/>
        </w:rPr>
        <w:t>(s)</w:t>
      </w:r>
      <w:r w:rsidR="00E4791A" w:rsidRPr="00640D01">
        <w:rPr>
          <w:b/>
          <w:bCs/>
          <w:color w:val="7030A0"/>
        </w:rPr>
        <w:t xml:space="preserve"> to </w:t>
      </w:r>
      <w:r w:rsidR="0067406B" w:rsidRPr="00640D01">
        <w:rPr>
          <w:b/>
          <w:bCs/>
          <w:color w:val="7030A0"/>
        </w:rPr>
        <w:t xml:space="preserve">the </w:t>
      </w:r>
      <w:r w:rsidR="003D0EA8" w:rsidRPr="00640D01">
        <w:rPr>
          <w:b/>
          <w:bCs/>
          <w:color w:val="7030A0"/>
        </w:rPr>
        <w:t>RTP/</w:t>
      </w:r>
      <w:r w:rsidRPr="00640D01">
        <w:rPr>
          <w:b/>
          <w:bCs/>
          <w:color w:val="7030A0"/>
        </w:rPr>
        <w:t>MTP and TIP</w:t>
      </w:r>
      <w:r w:rsidR="00E4791A" w:rsidRPr="00640D01">
        <w:rPr>
          <w:b/>
          <w:bCs/>
          <w:color w:val="7030A0"/>
        </w:rPr>
        <w:t xml:space="preserve"> posted on the website</w:t>
      </w:r>
      <w:r w:rsidRPr="00640D01">
        <w:rPr>
          <w:b/>
          <w:bCs/>
          <w:color w:val="7030A0"/>
        </w:rPr>
        <w:t>.</w:t>
      </w:r>
      <w:r w:rsidRPr="00176A31">
        <w:rPr>
          <w:color w:val="7030A0"/>
        </w:rPr>
        <w:t>]</w:t>
      </w:r>
    </w:p>
    <w:p w14:paraId="2541AA76" w14:textId="0742890D" w:rsidR="00C838CD" w:rsidRPr="00640D01" w:rsidRDefault="00C838CD" w:rsidP="00C838CD">
      <w:pPr>
        <w:pStyle w:val="Heading2"/>
        <w:numPr>
          <w:ilvl w:val="0"/>
          <w:numId w:val="0"/>
        </w:numPr>
        <w:ind w:left="576" w:hanging="576"/>
      </w:pPr>
      <w:bookmarkStart w:id="147" w:name="_Ref159507696"/>
      <w:bookmarkStart w:id="148" w:name="_Toc190242740"/>
      <w:r w:rsidRPr="00640D01">
        <w:t xml:space="preserve">B.1 Project </w:t>
      </w:r>
      <w:r w:rsidR="008753A7" w:rsidRPr="00640D01">
        <w:t>L</w:t>
      </w:r>
      <w:r w:rsidRPr="00640D01">
        <w:t>istings</w:t>
      </w:r>
      <w:bookmarkEnd w:id="147"/>
      <w:bookmarkEnd w:id="148"/>
      <w:r w:rsidRPr="00640D01">
        <w:t xml:space="preserve"> </w:t>
      </w:r>
    </w:p>
    <w:p w14:paraId="63352D42" w14:textId="16DDFFA6" w:rsidR="00C838CD" w:rsidRPr="00514311" w:rsidRDefault="00514311" w:rsidP="00DF6D1F">
      <w:pPr>
        <w:pStyle w:val="BodyText"/>
        <w:rPr>
          <w:color w:val="7030A0"/>
        </w:rPr>
      </w:pPr>
      <w:r w:rsidRPr="00514311">
        <w:rPr>
          <w:b/>
          <w:bCs/>
          <w:color w:val="7030A0"/>
        </w:rPr>
        <w:t>Instruction:</w:t>
      </w:r>
      <w:r>
        <w:rPr>
          <w:color w:val="7030A0"/>
        </w:rPr>
        <w:t xml:space="preserve"> </w:t>
      </w:r>
      <w:r w:rsidR="00C838CD" w:rsidRPr="00514311">
        <w:rPr>
          <w:color w:val="7030A0"/>
        </w:rPr>
        <w:t xml:space="preserve">This appendix contains the project listing files in PDF and a database-accessible format, such as CSV. </w:t>
      </w:r>
    </w:p>
    <w:p w14:paraId="63FA4A97" w14:textId="77777777" w:rsidR="00F276A4" w:rsidRPr="00640D01" w:rsidRDefault="00F276A4">
      <w:pPr>
        <w:spacing w:after="160" w:line="259" w:lineRule="auto"/>
        <w:rPr>
          <w:rFonts w:ascii="Times New Roman Bold" w:eastAsiaTheme="majorEastAsia" w:hAnsi="Times New Roman Bold" w:cstheme="majorBidi"/>
          <w:b/>
          <w:caps/>
          <w:color w:val="002060"/>
          <w:sz w:val="32"/>
          <w:szCs w:val="32"/>
        </w:rPr>
      </w:pPr>
      <w:r w:rsidRPr="00640D01">
        <w:br w:type="page"/>
      </w:r>
    </w:p>
    <w:p w14:paraId="7008076A" w14:textId="3CAC6CC4" w:rsidR="00E4791A" w:rsidRPr="00640D01" w:rsidRDefault="00E4791A" w:rsidP="00513F67">
      <w:pPr>
        <w:pStyle w:val="Heading1"/>
        <w:numPr>
          <w:ilvl w:val="0"/>
          <w:numId w:val="0"/>
        </w:numPr>
        <w:ind w:left="360" w:hanging="360"/>
      </w:pPr>
      <w:bookmarkStart w:id="149" w:name="_Toc190242741"/>
      <w:r w:rsidRPr="00640D01">
        <w:lastRenderedPageBreak/>
        <w:t xml:space="preserve">Appendix </w:t>
      </w:r>
      <w:r w:rsidR="009367FE" w:rsidRPr="00640D01">
        <w:t>C</w:t>
      </w:r>
      <w:r w:rsidR="008753A7" w:rsidRPr="00640D01">
        <w:t>—</w:t>
      </w:r>
      <w:r w:rsidRPr="00640D01">
        <w:t>Transportation Modeling System</w:t>
      </w:r>
      <w:bookmarkEnd w:id="149"/>
    </w:p>
    <w:p w14:paraId="7F116AC9" w14:textId="5E0FF1BB" w:rsidR="00E4791A" w:rsidRPr="00640D01" w:rsidRDefault="009367FE" w:rsidP="00F3041F">
      <w:pPr>
        <w:pStyle w:val="Heading2"/>
        <w:numPr>
          <w:ilvl w:val="0"/>
          <w:numId w:val="0"/>
        </w:numPr>
        <w:ind w:left="576" w:hanging="576"/>
      </w:pPr>
      <w:bookmarkStart w:id="150" w:name="_Ref159507174"/>
      <w:bookmarkStart w:id="151" w:name="_Toc190242742"/>
      <w:r w:rsidRPr="00640D01">
        <w:t>C</w:t>
      </w:r>
      <w:r w:rsidR="00E4791A" w:rsidRPr="00640D01">
        <w:t xml:space="preserve">.1 Travel </w:t>
      </w:r>
      <w:r w:rsidR="008753A7" w:rsidRPr="00640D01">
        <w:t>Model Validation</w:t>
      </w:r>
      <w:bookmarkEnd w:id="150"/>
      <w:bookmarkEnd w:id="151"/>
    </w:p>
    <w:p w14:paraId="215EAAAF" w14:textId="77777777" w:rsidR="006B532A" w:rsidRPr="00640D01" w:rsidRDefault="006B532A" w:rsidP="00DF6D1F">
      <w:pPr>
        <w:pStyle w:val="BodyText"/>
      </w:pPr>
    </w:p>
    <w:p w14:paraId="420CE503" w14:textId="1C8BFDF3" w:rsidR="006B532A" w:rsidRPr="00640D01" w:rsidRDefault="009367FE" w:rsidP="006B532A">
      <w:pPr>
        <w:pStyle w:val="Heading2"/>
        <w:numPr>
          <w:ilvl w:val="0"/>
          <w:numId w:val="0"/>
        </w:numPr>
        <w:ind w:left="576" w:hanging="576"/>
      </w:pPr>
      <w:bookmarkStart w:id="152" w:name="_Ref159506337"/>
      <w:bookmarkStart w:id="153" w:name="_Toc190242743"/>
      <w:r w:rsidRPr="00640D01">
        <w:t>C</w:t>
      </w:r>
      <w:r w:rsidR="006B532A" w:rsidRPr="00640D01">
        <w:t xml:space="preserve">.2 Links, Miles, </w:t>
      </w:r>
      <w:r w:rsidR="0097228A" w:rsidRPr="00640D01">
        <w:t xml:space="preserve">Centerline, </w:t>
      </w:r>
      <w:r w:rsidR="006B532A" w:rsidRPr="00640D01">
        <w:t>and Lane Miles Summaries</w:t>
      </w:r>
      <w:bookmarkEnd w:id="152"/>
      <w:bookmarkEnd w:id="153"/>
    </w:p>
    <w:p w14:paraId="302FE99D" w14:textId="77777777" w:rsidR="006B532A" w:rsidRPr="00640D01" w:rsidRDefault="006B532A" w:rsidP="00DF6D1F">
      <w:pPr>
        <w:pStyle w:val="BodyText"/>
      </w:pPr>
    </w:p>
    <w:p w14:paraId="54925E0B" w14:textId="725C8229" w:rsidR="009367FE" w:rsidRPr="00640D01" w:rsidRDefault="009367FE" w:rsidP="009367FE">
      <w:pPr>
        <w:pStyle w:val="Heading2"/>
        <w:numPr>
          <w:ilvl w:val="0"/>
          <w:numId w:val="0"/>
        </w:numPr>
        <w:ind w:left="576" w:hanging="576"/>
      </w:pPr>
      <w:bookmarkStart w:id="154" w:name="_Ref159507345"/>
      <w:bookmarkStart w:id="155" w:name="_Toc190242744"/>
      <w:r w:rsidRPr="00640D01">
        <w:t>C.</w:t>
      </w:r>
      <w:r w:rsidR="007A7B35" w:rsidRPr="00640D01">
        <w:t>3</w:t>
      </w:r>
      <w:r w:rsidRPr="00640D01">
        <w:t xml:space="preserve"> </w:t>
      </w:r>
      <w:r w:rsidR="007A7B35" w:rsidRPr="00640D01">
        <w:t xml:space="preserve">Link Listing and </w:t>
      </w:r>
      <w:r w:rsidRPr="00640D01">
        <w:t xml:space="preserve">Capacity </w:t>
      </w:r>
      <w:bookmarkEnd w:id="154"/>
      <w:r w:rsidR="0083511D" w:rsidRPr="00640D01">
        <w:t>S</w:t>
      </w:r>
      <w:r w:rsidR="008753A7" w:rsidRPr="00640D01">
        <w:t>taging</w:t>
      </w:r>
      <w:bookmarkEnd w:id="155"/>
    </w:p>
    <w:p w14:paraId="0E2EBAF8" w14:textId="01BBF344" w:rsidR="009367FE" w:rsidRPr="00514311" w:rsidRDefault="00514311" w:rsidP="00DF6D1F">
      <w:pPr>
        <w:pStyle w:val="BodyText"/>
        <w:rPr>
          <w:color w:val="7030A0"/>
        </w:rPr>
      </w:pPr>
      <w:r w:rsidRPr="00514311">
        <w:rPr>
          <w:b/>
          <w:bCs/>
          <w:color w:val="7030A0"/>
        </w:rPr>
        <w:t>Instruction:</w:t>
      </w:r>
      <w:r w:rsidRPr="00514311">
        <w:rPr>
          <w:color w:val="7030A0"/>
        </w:rPr>
        <w:t xml:space="preserve"> </w:t>
      </w:r>
      <w:r w:rsidR="009367FE" w:rsidRPr="00514311">
        <w:rPr>
          <w:color w:val="7030A0"/>
        </w:rPr>
        <w:t>This appendix contains the capacity staging files in PDF and a database-accessible format, such as CSV.</w:t>
      </w:r>
      <w:r w:rsidR="00216A39" w:rsidRPr="00514311">
        <w:rPr>
          <w:color w:val="7030A0"/>
        </w:rPr>
        <w:t xml:space="preserve"> </w:t>
      </w:r>
    </w:p>
    <w:p w14:paraId="22940707" w14:textId="79710FD1" w:rsidR="003F0AD1" w:rsidRPr="00640D01" w:rsidRDefault="009367FE" w:rsidP="00F3041F">
      <w:pPr>
        <w:pStyle w:val="Heading2"/>
        <w:numPr>
          <w:ilvl w:val="0"/>
          <w:numId w:val="0"/>
        </w:numPr>
        <w:ind w:left="576" w:hanging="576"/>
      </w:pPr>
      <w:bookmarkStart w:id="156" w:name="_Toc190242745"/>
      <w:r w:rsidRPr="00640D01">
        <w:t>C</w:t>
      </w:r>
      <w:r w:rsidR="00547DF6" w:rsidRPr="00640D01">
        <w:t>.</w:t>
      </w:r>
      <w:r w:rsidR="007A7B35" w:rsidRPr="00640D01">
        <w:t>4</w:t>
      </w:r>
      <w:r w:rsidR="00E4791A" w:rsidRPr="00640D01">
        <w:t xml:space="preserve"> Roadway </w:t>
      </w:r>
      <w:r w:rsidR="008753A7" w:rsidRPr="00640D01">
        <w:t>Network F</w:t>
      </w:r>
      <w:r w:rsidR="00E4791A" w:rsidRPr="00640D01">
        <w:t>iles</w:t>
      </w:r>
      <w:bookmarkEnd w:id="156"/>
    </w:p>
    <w:p w14:paraId="1492ED1D" w14:textId="283DA995" w:rsidR="00E4791A" w:rsidRPr="00514311" w:rsidRDefault="00514311" w:rsidP="00DF6D1F">
      <w:pPr>
        <w:pStyle w:val="BodyText"/>
        <w:rPr>
          <w:b/>
          <w:bCs/>
          <w:color w:val="7030A0"/>
        </w:rPr>
      </w:pPr>
      <w:r w:rsidRPr="00514311">
        <w:rPr>
          <w:b/>
          <w:bCs/>
          <w:color w:val="7030A0"/>
        </w:rPr>
        <w:t xml:space="preserve">Instruction: </w:t>
      </w:r>
      <w:r w:rsidR="003F0AD1" w:rsidRPr="00514311">
        <w:rPr>
          <w:color w:val="7030A0"/>
        </w:rPr>
        <w:t>This appendix include</w:t>
      </w:r>
      <w:r w:rsidR="00DF6D1F" w:rsidRPr="00514311">
        <w:rPr>
          <w:color w:val="7030A0"/>
        </w:rPr>
        <w:t>s</w:t>
      </w:r>
      <w:r w:rsidR="00E4791A" w:rsidRPr="00514311">
        <w:rPr>
          <w:color w:val="7030A0"/>
        </w:rPr>
        <w:t xml:space="preserve"> the travel model shapefiles</w:t>
      </w:r>
      <w:r w:rsidR="003F0AD1" w:rsidRPr="00514311">
        <w:rPr>
          <w:color w:val="7030A0"/>
        </w:rPr>
        <w:t>.</w:t>
      </w:r>
    </w:p>
    <w:p w14:paraId="051DB912" w14:textId="77777777" w:rsidR="00F276A4" w:rsidRPr="00640D01" w:rsidRDefault="00F276A4">
      <w:pPr>
        <w:spacing w:after="160" w:line="259" w:lineRule="auto"/>
        <w:rPr>
          <w:rFonts w:ascii="Times New Roman Bold" w:eastAsiaTheme="majorEastAsia" w:hAnsi="Times New Roman Bold" w:cstheme="majorBidi"/>
          <w:b/>
          <w:caps/>
          <w:color w:val="002060"/>
          <w:sz w:val="32"/>
          <w:szCs w:val="32"/>
        </w:rPr>
      </w:pPr>
      <w:r w:rsidRPr="00640D01">
        <w:br w:type="page"/>
      </w:r>
    </w:p>
    <w:p w14:paraId="639F381E" w14:textId="609F82DB" w:rsidR="00E4791A" w:rsidRPr="00640D01" w:rsidRDefault="00E4791A" w:rsidP="00513F67">
      <w:pPr>
        <w:pStyle w:val="Heading1"/>
        <w:numPr>
          <w:ilvl w:val="0"/>
          <w:numId w:val="0"/>
        </w:numPr>
        <w:ind w:left="360" w:hanging="360"/>
      </w:pPr>
      <w:bookmarkStart w:id="157" w:name="_Toc190242746"/>
      <w:r w:rsidRPr="00640D01">
        <w:lastRenderedPageBreak/>
        <w:t xml:space="preserve">Appendix </w:t>
      </w:r>
      <w:r w:rsidR="00D1751B" w:rsidRPr="00640D01">
        <w:t>D</w:t>
      </w:r>
      <w:r w:rsidR="008753A7" w:rsidRPr="00640D01">
        <w:t>—</w:t>
      </w:r>
      <w:r w:rsidRPr="00640D01">
        <w:t>Emissions Modeling Information</w:t>
      </w:r>
      <w:bookmarkEnd w:id="157"/>
      <w:r w:rsidRPr="00640D01">
        <w:t xml:space="preserve"> </w:t>
      </w:r>
    </w:p>
    <w:p w14:paraId="452C5091" w14:textId="690C096E" w:rsidR="00CB0031" w:rsidRPr="00640D01" w:rsidRDefault="00D1751B" w:rsidP="00F3041F">
      <w:pPr>
        <w:pStyle w:val="Heading2"/>
        <w:numPr>
          <w:ilvl w:val="0"/>
          <w:numId w:val="0"/>
        </w:numPr>
        <w:ind w:left="576" w:hanging="576"/>
      </w:pPr>
      <w:bookmarkStart w:id="158" w:name="_Ref159506768"/>
      <w:bookmarkStart w:id="159" w:name="_Toc190242747"/>
      <w:r w:rsidRPr="00640D01">
        <w:t>D</w:t>
      </w:r>
      <w:r w:rsidR="00E4791A" w:rsidRPr="00640D01">
        <w:t xml:space="preserve">.1 MOVES </w:t>
      </w:r>
      <w:r w:rsidR="008753A7" w:rsidRPr="00640D01">
        <w:t xml:space="preserve">Input </w:t>
      </w:r>
      <w:r w:rsidR="00D93281" w:rsidRPr="00640D01">
        <w:t>and Output</w:t>
      </w:r>
      <w:bookmarkEnd w:id="158"/>
      <w:bookmarkEnd w:id="159"/>
    </w:p>
    <w:p w14:paraId="6E38B4C8" w14:textId="5EF64220" w:rsidR="00E4791A" w:rsidRPr="00514311" w:rsidRDefault="00514311" w:rsidP="00DF6D1F">
      <w:pPr>
        <w:pStyle w:val="BodyText"/>
        <w:rPr>
          <w:color w:val="7030A0"/>
        </w:rPr>
      </w:pPr>
      <w:r w:rsidRPr="00514311">
        <w:rPr>
          <w:b/>
          <w:bCs/>
          <w:color w:val="7030A0"/>
        </w:rPr>
        <w:t>Instruction:</w:t>
      </w:r>
      <w:r w:rsidRPr="00514311">
        <w:rPr>
          <w:color w:val="7030A0"/>
        </w:rPr>
        <w:t xml:space="preserve"> </w:t>
      </w:r>
      <w:r w:rsidR="00CB0031" w:rsidRPr="00514311">
        <w:rPr>
          <w:color w:val="7030A0"/>
        </w:rPr>
        <w:t>This appendix includes the MOVES</w:t>
      </w:r>
      <w:r w:rsidR="00E4791A" w:rsidRPr="00514311">
        <w:rPr>
          <w:color w:val="7030A0"/>
        </w:rPr>
        <w:t xml:space="preserve"> input </w:t>
      </w:r>
      <w:r w:rsidR="0067406B" w:rsidRPr="00514311">
        <w:rPr>
          <w:color w:val="7030A0"/>
        </w:rPr>
        <w:t>county databases</w:t>
      </w:r>
      <w:r w:rsidR="002A2B19" w:rsidRPr="00514311">
        <w:rPr>
          <w:color w:val="7030A0"/>
        </w:rPr>
        <w:t xml:space="preserve">, </w:t>
      </w:r>
      <w:r w:rsidR="00CB0031" w:rsidRPr="00514311">
        <w:rPr>
          <w:color w:val="7030A0"/>
        </w:rPr>
        <w:t xml:space="preserve">MOVES </w:t>
      </w:r>
      <w:r w:rsidR="00E4791A" w:rsidRPr="00514311">
        <w:rPr>
          <w:color w:val="7030A0"/>
        </w:rPr>
        <w:t>Run</w:t>
      </w:r>
      <w:r w:rsidR="00BC4765" w:rsidRPr="00514311">
        <w:rPr>
          <w:color w:val="7030A0"/>
        </w:rPr>
        <w:t>S</w:t>
      </w:r>
      <w:r w:rsidR="00F101B0" w:rsidRPr="00514311">
        <w:rPr>
          <w:color w:val="7030A0"/>
        </w:rPr>
        <w:t>pec</w:t>
      </w:r>
      <w:r w:rsidR="00CB0031" w:rsidRPr="00514311">
        <w:rPr>
          <w:color w:val="7030A0"/>
        </w:rPr>
        <w:t xml:space="preserve"> </w:t>
      </w:r>
      <w:r w:rsidR="00BC4765" w:rsidRPr="00514311">
        <w:rPr>
          <w:color w:val="7030A0"/>
        </w:rPr>
        <w:t xml:space="preserve">files </w:t>
      </w:r>
      <w:r w:rsidR="00CB0031" w:rsidRPr="00514311">
        <w:rPr>
          <w:color w:val="7030A0"/>
        </w:rPr>
        <w:t>input</w:t>
      </w:r>
      <w:r w:rsidR="007914D0" w:rsidRPr="00514311">
        <w:rPr>
          <w:color w:val="7030A0"/>
        </w:rPr>
        <w:t xml:space="preserve"> and</w:t>
      </w:r>
      <w:r w:rsidR="00E4791A" w:rsidRPr="00514311">
        <w:rPr>
          <w:color w:val="7030A0"/>
        </w:rPr>
        <w:t xml:space="preserve"> output database</w:t>
      </w:r>
      <w:r w:rsidR="007914D0" w:rsidRPr="00514311">
        <w:rPr>
          <w:color w:val="7030A0"/>
        </w:rPr>
        <w:t>s</w:t>
      </w:r>
      <w:r w:rsidR="002A2B19" w:rsidRPr="00514311">
        <w:rPr>
          <w:color w:val="7030A0"/>
        </w:rPr>
        <w:t xml:space="preserve">, </w:t>
      </w:r>
      <w:r w:rsidR="00DF6D1F" w:rsidRPr="00514311">
        <w:rPr>
          <w:color w:val="7030A0"/>
        </w:rPr>
        <w:t>and</w:t>
      </w:r>
      <w:r w:rsidR="002A2B19" w:rsidRPr="00514311">
        <w:rPr>
          <w:color w:val="7030A0"/>
        </w:rPr>
        <w:t xml:space="preserve"> MOVES </w:t>
      </w:r>
      <w:r w:rsidR="00DF6D1F" w:rsidRPr="00514311">
        <w:rPr>
          <w:color w:val="7030A0"/>
        </w:rPr>
        <w:t>external modeling external files</w:t>
      </w:r>
      <w:r w:rsidR="007914D0" w:rsidRPr="00514311">
        <w:rPr>
          <w:color w:val="7030A0"/>
        </w:rPr>
        <w:t>.</w:t>
      </w:r>
    </w:p>
    <w:p w14:paraId="107C4D5A" w14:textId="2853BE90" w:rsidR="00E4791A" w:rsidRPr="00640D01" w:rsidRDefault="00D1751B" w:rsidP="00F3041F">
      <w:pPr>
        <w:pStyle w:val="Heading2"/>
        <w:numPr>
          <w:ilvl w:val="0"/>
          <w:numId w:val="0"/>
        </w:numPr>
        <w:ind w:left="576" w:hanging="576"/>
      </w:pPr>
      <w:bookmarkStart w:id="160" w:name="_Ref159507068"/>
      <w:bookmarkStart w:id="161" w:name="_Toc190242748"/>
      <w:r w:rsidRPr="00640D01">
        <w:t>D</w:t>
      </w:r>
      <w:r w:rsidR="00E4791A" w:rsidRPr="00640D01">
        <w:t xml:space="preserve">.2 </w:t>
      </w:r>
      <w:r w:rsidR="00C64AF6" w:rsidRPr="00640D01">
        <w:t xml:space="preserve">MOVES </w:t>
      </w:r>
      <w:r w:rsidR="00E4791A" w:rsidRPr="00640D01">
        <w:t>Emission Factors</w:t>
      </w:r>
      <w:bookmarkEnd w:id="160"/>
      <w:bookmarkEnd w:id="161"/>
    </w:p>
    <w:p w14:paraId="2D2EE812" w14:textId="6A109413" w:rsidR="00C64AF6" w:rsidRPr="00514311" w:rsidRDefault="00514311" w:rsidP="00DF6D1F">
      <w:pPr>
        <w:pStyle w:val="BodyText"/>
        <w:rPr>
          <w:color w:val="7030A0"/>
        </w:rPr>
      </w:pPr>
      <w:r w:rsidRPr="00514311">
        <w:rPr>
          <w:b/>
          <w:bCs/>
          <w:color w:val="7030A0"/>
        </w:rPr>
        <w:t>Instruction:</w:t>
      </w:r>
      <w:r w:rsidRPr="00514311">
        <w:rPr>
          <w:color w:val="7030A0"/>
        </w:rPr>
        <w:t xml:space="preserve"> </w:t>
      </w:r>
      <w:r w:rsidR="00911B05" w:rsidRPr="00514311">
        <w:rPr>
          <w:color w:val="7030A0"/>
        </w:rPr>
        <w:t>E</w:t>
      </w:r>
      <w:r w:rsidR="00EA75B7" w:rsidRPr="00514311">
        <w:rPr>
          <w:color w:val="7030A0"/>
        </w:rPr>
        <w:t xml:space="preserve">ach analysis year </w:t>
      </w:r>
      <w:r w:rsidR="00911B05" w:rsidRPr="00514311">
        <w:rPr>
          <w:color w:val="7030A0"/>
        </w:rPr>
        <w:t xml:space="preserve">may be listed </w:t>
      </w:r>
      <w:r w:rsidR="00EA75B7" w:rsidRPr="00514311">
        <w:rPr>
          <w:color w:val="7030A0"/>
        </w:rPr>
        <w:t>as its own attachment</w:t>
      </w:r>
      <w:r w:rsidR="00DF6D1F" w:rsidRPr="00514311">
        <w:rPr>
          <w:color w:val="7030A0"/>
        </w:rPr>
        <w:t>, such as</w:t>
      </w:r>
      <w:r w:rsidR="00EA75B7" w:rsidRPr="00514311">
        <w:rPr>
          <w:color w:val="7030A0"/>
        </w:rPr>
        <w:t xml:space="preserve"> Appendix </w:t>
      </w:r>
      <w:r w:rsidR="007030F0" w:rsidRPr="00514311">
        <w:rPr>
          <w:color w:val="7030A0"/>
        </w:rPr>
        <w:t>D</w:t>
      </w:r>
      <w:r w:rsidR="00EA75B7" w:rsidRPr="00514311">
        <w:rPr>
          <w:color w:val="7030A0"/>
        </w:rPr>
        <w:t>.2.1, Appendix</w:t>
      </w:r>
      <w:r w:rsidR="00DF6D1F" w:rsidRPr="00514311">
        <w:rPr>
          <w:color w:val="7030A0"/>
        </w:rPr>
        <w:t> </w:t>
      </w:r>
      <w:r w:rsidR="007030F0" w:rsidRPr="00514311">
        <w:rPr>
          <w:color w:val="7030A0"/>
        </w:rPr>
        <w:t>D</w:t>
      </w:r>
      <w:r w:rsidR="00EA75B7" w:rsidRPr="00514311">
        <w:rPr>
          <w:color w:val="7030A0"/>
        </w:rPr>
        <w:t>.2.2, etc.</w:t>
      </w:r>
    </w:p>
    <w:p w14:paraId="6B0D242A" w14:textId="190D9743" w:rsidR="00D635BB" w:rsidRPr="00640D01" w:rsidRDefault="00D1751B" w:rsidP="00F3041F">
      <w:pPr>
        <w:pStyle w:val="Heading2"/>
        <w:numPr>
          <w:ilvl w:val="0"/>
          <w:numId w:val="0"/>
        </w:numPr>
        <w:ind w:left="576" w:hanging="576"/>
      </w:pPr>
      <w:bookmarkStart w:id="162" w:name="_Ref159507073"/>
      <w:bookmarkStart w:id="163" w:name="_Ref159507784"/>
      <w:bookmarkStart w:id="164" w:name="_Toc190242749"/>
      <w:r w:rsidRPr="00640D01">
        <w:t>D</w:t>
      </w:r>
      <w:r w:rsidR="00E4791A" w:rsidRPr="00640D01">
        <w:t>.3 Activit</w:t>
      </w:r>
      <w:r w:rsidRPr="00640D01">
        <w:t>ies</w:t>
      </w:r>
      <w:bookmarkEnd w:id="162"/>
      <w:bookmarkEnd w:id="163"/>
      <w:bookmarkEnd w:id="164"/>
    </w:p>
    <w:p w14:paraId="0BB0305E" w14:textId="07C24527" w:rsidR="00E4791A" w:rsidRPr="00640D01" w:rsidRDefault="00514311" w:rsidP="00DF6D1F">
      <w:pPr>
        <w:pStyle w:val="BodyText"/>
      </w:pPr>
      <w:r w:rsidRPr="00514311">
        <w:rPr>
          <w:b/>
          <w:bCs/>
          <w:color w:val="7030A0"/>
        </w:rPr>
        <w:t>Instruction:</w:t>
      </w:r>
      <w:r>
        <w:rPr>
          <w:color w:val="7030A0"/>
        </w:rPr>
        <w:t xml:space="preserve"> </w:t>
      </w:r>
      <w:r w:rsidR="00302802" w:rsidRPr="00640D01">
        <w:t>This includes</w:t>
      </w:r>
      <w:r w:rsidR="00292AA9" w:rsidRPr="00640D01">
        <w:t xml:space="preserve"> </w:t>
      </w:r>
      <w:r w:rsidR="00E4791A" w:rsidRPr="00640D01">
        <w:t xml:space="preserve">VMT, </w:t>
      </w:r>
      <w:r w:rsidR="00DF6D1F" w:rsidRPr="00640D01">
        <w:t>extended idling, starts</w:t>
      </w:r>
      <w:r w:rsidR="00AA0410" w:rsidRPr="00640D01">
        <w:t xml:space="preserve">, </w:t>
      </w:r>
      <w:r w:rsidR="00E4791A" w:rsidRPr="00640D01">
        <w:t>etc.</w:t>
      </w:r>
    </w:p>
    <w:p w14:paraId="6CAA7CED" w14:textId="2C5ED650" w:rsidR="00E4791A" w:rsidRPr="00640D01" w:rsidRDefault="00D1751B" w:rsidP="00F3041F">
      <w:pPr>
        <w:pStyle w:val="Heading2"/>
        <w:numPr>
          <w:ilvl w:val="0"/>
          <w:numId w:val="0"/>
        </w:numPr>
        <w:ind w:left="576" w:hanging="576"/>
      </w:pPr>
      <w:bookmarkStart w:id="165" w:name="_Ref159506786"/>
      <w:bookmarkStart w:id="166" w:name="_Toc190242750"/>
      <w:r w:rsidRPr="00640D01">
        <w:t>D</w:t>
      </w:r>
      <w:r w:rsidR="00E4791A" w:rsidRPr="00640D01">
        <w:t>.</w:t>
      </w:r>
      <w:r w:rsidR="002A2B19" w:rsidRPr="00640D01">
        <w:t>4</w:t>
      </w:r>
      <w:r w:rsidR="00E4791A" w:rsidRPr="00640D01">
        <w:t xml:space="preserve"> Emissions </w:t>
      </w:r>
      <w:r w:rsidRPr="00640D01">
        <w:t>M</w:t>
      </w:r>
      <w:r w:rsidR="00E4791A" w:rsidRPr="00640D01">
        <w:t xml:space="preserve">odeling </w:t>
      </w:r>
      <w:r w:rsidRPr="00640D01">
        <w:t>U</w:t>
      </w:r>
      <w:r w:rsidR="00E4791A" w:rsidRPr="00640D01">
        <w:t>tilities</w:t>
      </w:r>
      <w:bookmarkEnd w:id="165"/>
      <w:bookmarkEnd w:id="166"/>
    </w:p>
    <w:p w14:paraId="145978A9" w14:textId="77777777" w:rsidR="00A05CE4" w:rsidRPr="00640D01" w:rsidRDefault="00A05CE4" w:rsidP="00DF6D1F">
      <w:pPr>
        <w:pStyle w:val="BodyText"/>
      </w:pPr>
    </w:p>
    <w:p w14:paraId="33585F26" w14:textId="59BCF93A" w:rsidR="00A05CE4" w:rsidRPr="00640D01" w:rsidRDefault="00D1751B" w:rsidP="00A05CE4">
      <w:pPr>
        <w:pStyle w:val="Heading2"/>
        <w:numPr>
          <w:ilvl w:val="0"/>
          <w:numId w:val="0"/>
        </w:numPr>
        <w:ind w:left="576" w:hanging="576"/>
      </w:pPr>
      <w:bookmarkStart w:id="167" w:name="_Ref159506257"/>
      <w:bookmarkStart w:id="168" w:name="_Toc190242751"/>
      <w:r w:rsidRPr="00640D01">
        <w:t>D</w:t>
      </w:r>
      <w:r w:rsidR="00A05CE4" w:rsidRPr="00640D01">
        <w:t>.</w:t>
      </w:r>
      <w:r w:rsidR="002A2B19" w:rsidRPr="00640D01">
        <w:t>5</w:t>
      </w:r>
      <w:r w:rsidR="00A05CE4" w:rsidRPr="00640D01">
        <w:t xml:space="preserve"> VMT, Speed, and Emissions Summaries</w:t>
      </w:r>
      <w:bookmarkEnd w:id="167"/>
      <w:bookmarkEnd w:id="168"/>
    </w:p>
    <w:p w14:paraId="664B23AA" w14:textId="77777777" w:rsidR="000E2658" w:rsidRPr="00640D01" w:rsidRDefault="000E2658" w:rsidP="00DF6D1F">
      <w:pPr>
        <w:pStyle w:val="BodyText"/>
      </w:pPr>
    </w:p>
    <w:p w14:paraId="376C8657" w14:textId="77777777" w:rsidR="00F276A4" w:rsidRPr="00640D01" w:rsidRDefault="00F276A4">
      <w:pPr>
        <w:spacing w:after="160" w:line="259" w:lineRule="auto"/>
        <w:rPr>
          <w:rFonts w:ascii="Times New Roman Bold" w:eastAsiaTheme="majorEastAsia" w:hAnsi="Times New Roman Bold" w:cstheme="majorBidi"/>
          <w:b/>
          <w:caps/>
          <w:color w:val="002060"/>
          <w:sz w:val="32"/>
          <w:szCs w:val="32"/>
        </w:rPr>
      </w:pPr>
      <w:r w:rsidRPr="00640D01">
        <w:br w:type="page"/>
      </w:r>
    </w:p>
    <w:p w14:paraId="21E8F794" w14:textId="4E522493" w:rsidR="00E4791A" w:rsidRPr="00640D01" w:rsidRDefault="00E4791A" w:rsidP="00513F67">
      <w:pPr>
        <w:pStyle w:val="Heading1"/>
        <w:numPr>
          <w:ilvl w:val="0"/>
          <w:numId w:val="0"/>
        </w:numPr>
        <w:ind w:left="360" w:hanging="360"/>
      </w:pPr>
      <w:bookmarkStart w:id="169" w:name="_Toc190242752"/>
      <w:r w:rsidRPr="00640D01">
        <w:lastRenderedPageBreak/>
        <w:t xml:space="preserve">Appendix </w:t>
      </w:r>
      <w:r w:rsidR="00D1751B" w:rsidRPr="00640D01">
        <w:t>E</w:t>
      </w:r>
      <w:r w:rsidR="008753A7" w:rsidRPr="00640D01">
        <w:t>—</w:t>
      </w:r>
      <w:r w:rsidRPr="00640D01">
        <w:t>Timely Implementation Documentation for TCM</w:t>
      </w:r>
      <w:bookmarkEnd w:id="169"/>
    </w:p>
    <w:p w14:paraId="016EA11E" w14:textId="4676E1F2" w:rsidR="00E4791A" w:rsidRPr="00640D01" w:rsidRDefault="00D1751B" w:rsidP="00F3041F">
      <w:pPr>
        <w:pStyle w:val="Heading2"/>
        <w:numPr>
          <w:ilvl w:val="0"/>
          <w:numId w:val="0"/>
        </w:numPr>
        <w:ind w:left="576" w:hanging="576"/>
      </w:pPr>
      <w:bookmarkStart w:id="170" w:name="_Ref159507130"/>
      <w:bookmarkStart w:id="171" w:name="_Ref159507415"/>
      <w:bookmarkStart w:id="172" w:name="_Toc190242753"/>
      <w:r w:rsidRPr="00640D01">
        <w:t>E</w:t>
      </w:r>
      <w:r w:rsidR="00E4791A" w:rsidRPr="00640D01">
        <w:t>.1 MoSERS Methodology/Calculation Descriptions</w:t>
      </w:r>
      <w:bookmarkEnd w:id="170"/>
      <w:bookmarkEnd w:id="171"/>
      <w:bookmarkEnd w:id="172"/>
    </w:p>
    <w:p w14:paraId="461E86F1" w14:textId="77777777" w:rsidR="00A34609" w:rsidRPr="00640D01" w:rsidRDefault="00A34609" w:rsidP="00DF6D1F">
      <w:pPr>
        <w:pStyle w:val="BodyText"/>
      </w:pPr>
    </w:p>
    <w:p w14:paraId="0C279FCB" w14:textId="08281D79" w:rsidR="00E4791A" w:rsidRPr="00640D01" w:rsidRDefault="00D1751B" w:rsidP="00F3041F">
      <w:pPr>
        <w:pStyle w:val="Heading2"/>
        <w:numPr>
          <w:ilvl w:val="0"/>
          <w:numId w:val="0"/>
        </w:numPr>
        <w:ind w:left="576" w:hanging="576"/>
      </w:pPr>
      <w:bookmarkStart w:id="173" w:name="_Ref159507139"/>
      <w:bookmarkStart w:id="174" w:name="_Toc190242754"/>
      <w:r w:rsidRPr="00640D01">
        <w:t>E</w:t>
      </w:r>
      <w:r w:rsidR="00E4791A" w:rsidRPr="00640D01">
        <w:t>.2 MoSERS Project Listing</w:t>
      </w:r>
      <w:bookmarkEnd w:id="173"/>
      <w:bookmarkEnd w:id="174"/>
    </w:p>
    <w:p w14:paraId="64910DD2" w14:textId="77777777" w:rsidR="00891C14" w:rsidRPr="00640D01" w:rsidRDefault="00891C14" w:rsidP="00DF6D1F">
      <w:pPr>
        <w:pStyle w:val="BodyText"/>
      </w:pPr>
    </w:p>
    <w:p w14:paraId="5928FF5A" w14:textId="320278BE" w:rsidR="00891C14" w:rsidRPr="00640D01" w:rsidRDefault="00D1751B" w:rsidP="00891C14">
      <w:pPr>
        <w:pStyle w:val="Heading2"/>
        <w:numPr>
          <w:ilvl w:val="0"/>
          <w:numId w:val="0"/>
        </w:numPr>
        <w:ind w:left="576" w:hanging="576"/>
      </w:pPr>
      <w:bookmarkStart w:id="175" w:name="_Ref159501244"/>
      <w:bookmarkStart w:id="176" w:name="_Toc190242755"/>
      <w:r w:rsidRPr="00640D01">
        <w:t>E</w:t>
      </w:r>
      <w:r w:rsidR="00891C14" w:rsidRPr="00640D01">
        <w:t>.3 CMAQ Project List</w:t>
      </w:r>
      <w:bookmarkEnd w:id="175"/>
      <w:bookmarkEnd w:id="176"/>
    </w:p>
    <w:p w14:paraId="2F63CC8C" w14:textId="77777777" w:rsidR="00DF6D1F" w:rsidRPr="00640D01" w:rsidRDefault="00DF6D1F" w:rsidP="00DF6D1F">
      <w:pPr>
        <w:pStyle w:val="BodyText"/>
      </w:pPr>
    </w:p>
    <w:p w14:paraId="65C851B3" w14:textId="77777777" w:rsidR="00F276A4" w:rsidRPr="00640D01" w:rsidRDefault="00F276A4">
      <w:pPr>
        <w:spacing w:after="160" w:line="259" w:lineRule="auto"/>
        <w:rPr>
          <w:rFonts w:ascii="Times New Roman Bold" w:eastAsiaTheme="majorEastAsia" w:hAnsi="Times New Roman Bold" w:cstheme="majorBidi"/>
          <w:b/>
          <w:caps/>
          <w:color w:val="002060"/>
          <w:sz w:val="32"/>
          <w:szCs w:val="32"/>
        </w:rPr>
      </w:pPr>
      <w:r w:rsidRPr="00640D01">
        <w:br w:type="page"/>
      </w:r>
    </w:p>
    <w:p w14:paraId="6729E272" w14:textId="1B64A6A8" w:rsidR="00E4791A" w:rsidRPr="00640D01" w:rsidRDefault="00E4791A" w:rsidP="00513F67">
      <w:pPr>
        <w:pStyle w:val="Heading1"/>
        <w:numPr>
          <w:ilvl w:val="0"/>
          <w:numId w:val="0"/>
        </w:numPr>
        <w:ind w:left="360" w:hanging="360"/>
      </w:pPr>
      <w:bookmarkStart w:id="177" w:name="_Ref159507615"/>
      <w:bookmarkStart w:id="178" w:name="_Toc190242756"/>
      <w:r w:rsidRPr="00640D01">
        <w:lastRenderedPageBreak/>
        <w:t xml:space="preserve">Appendix </w:t>
      </w:r>
      <w:r w:rsidR="00D1751B" w:rsidRPr="00640D01">
        <w:t>F</w:t>
      </w:r>
      <w:r w:rsidR="008753A7" w:rsidRPr="00640D01">
        <w:t>—</w:t>
      </w:r>
      <w:r w:rsidRPr="00640D01">
        <w:t>Interagency Consultation Process</w:t>
      </w:r>
      <w:bookmarkEnd w:id="177"/>
      <w:bookmarkEnd w:id="178"/>
    </w:p>
    <w:p w14:paraId="4CE1217E" w14:textId="77F5888E" w:rsidR="00E4791A" w:rsidRPr="00640D01" w:rsidRDefault="00D1751B" w:rsidP="00F3041F">
      <w:pPr>
        <w:pStyle w:val="Heading2"/>
        <w:numPr>
          <w:ilvl w:val="0"/>
          <w:numId w:val="0"/>
        </w:numPr>
        <w:ind w:left="576" w:hanging="576"/>
      </w:pPr>
      <w:bookmarkStart w:id="179" w:name="_Toc190242757"/>
      <w:bookmarkStart w:id="180" w:name="_Ref159507804"/>
      <w:r w:rsidRPr="00640D01">
        <w:t>F</w:t>
      </w:r>
      <w:r w:rsidR="00E4791A" w:rsidRPr="00640D01">
        <w:t xml:space="preserve">.1 Approved </w:t>
      </w:r>
      <w:r w:rsidR="00DF6D1F" w:rsidRPr="00640D01">
        <w:t>Pre-analysis Consensus Plan</w:t>
      </w:r>
      <w:bookmarkEnd w:id="179"/>
      <w:r w:rsidR="00DF6D1F" w:rsidRPr="00640D01" w:rsidDel="00DF6D1F">
        <w:t xml:space="preserve"> </w:t>
      </w:r>
      <w:bookmarkEnd w:id="180"/>
    </w:p>
    <w:p w14:paraId="0ADC3EBC" w14:textId="77777777" w:rsidR="00A34609" w:rsidRPr="00640D01" w:rsidRDefault="00A34609" w:rsidP="00DF6D1F">
      <w:pPr>
        <w:pStyle w:val="BodyText"/>
      </w:pPr>
    </w:p>
    <w:p w14:paraId="73CEBA7C" w14:textId="6AD9A006" w:rsidR="00E4791A" w:rsidRPr="00640D01" w:rsidRDefault="00D1751B" w:rsidP="00F3041F">
      <w:pPr>
        <w:pStyle w:val="Heading2"/>
        <w:numPr>
          <w:ilvl w:val="0"/>
          <w:numId w:val="0"/>
        </w:numPr>
        <w:ind w:left="576" w:hanging="576"/>
      </w:pPr>
      <w:bookmarkStart w:id="181" w:name="_Ref159507851"/>
      <w:bookmarkStart w:id="182" w:name="_Toc190242758"/>
      <w:r w:rsidRPr="00640D01">
        <w:t>F</w:t>
      </w:r>
      <w:r w:rsidR="00E4791A" w:rsidRPr="00640D01">
        <w:t xml:space="preserve">.2 Consultation </w:t>
      </w:r>
      <w:r w:rsidR="008753A7" w:rsidRPr="00640D01">
        <w:t xml:space="preserve">Review </w:t>
      </w:r>
      <w:r w:rsidR="00E4791A" w:rsidRPr="00640D01">
        <w:t xml:space="preserve">and </w:t>
      </w:r>
      <w:r w:rsidR="008753A7" w:rsidRPr="00640D01">
        <w:t>Meeting Summa</w:t>
      </w:r>
      <w:r w:rsidR="00E4791A" w:rsidRPr="00640D01">
        <w:t>ry</w:t>
      </w:r>
      <w:bookmarkEnd w:id="181"/>
      <w:bookmarkEnd w:id="182"/>
    </w:p>
    <w:p w14:paraId="33782D07" w14:textId="77777777" w:rsidR="00DF6D1F" w:rsidRPr="00640D01" w:rsidRDefault="00DF6D1F" w:rsidP="00DF6D1F">
      <w:pPr>
        <w:pStyle w:val="BodyText"/>
      </w:pPr>
    </w:p>
    <w:p w14:paraId="1C956465" w14:textId="77777777" w:rsidR="00F276A4" w:rsidRPr="00640D01" w:rsidRDefault="00F276A4">
      <w:pPr>
        <w:spacing w:after="160" w:line="259" w:lineRule="auto"/>
        <w:rPr>
          <w:rFonts w:ascii="Times New Roman Bold" w:eastAsiaTheme="majorEastAsia" w:hAnsi="Times New Roman Bold" w:cstheme="majorBidi"/>
          <w:b/>
          <w:caps/>
          <w:color w:val="002060"/>
          <w:sz w:val="32"/>
          <w:szCs w:val="32"/>
        </w:rPr>
      </w:pPr>
      <w:r w:rsidRPr="00640D01">
        <w:br w:type="page"/>
      </w:r>
    </w:p>
    <w:p w14:paraId="5CD50D79" w14:textId="044941ED" w:rsidR="00E4791A" w:rsidRPr="00640D01" w:rsidRDefault="00E4791A" w:rsidP="00513F67">
      <w:pPr>
        <w:pStyle w:val="Heading1"/>
        <w:numPr>
          <w:ilvl w:val="0"/>
          <w:numId w:val="0"/>
        </w:numPr>
        <w:ind w:left="360" w:hanging="360"/>
      </w:pPr>
      <w:bookmarkStart w:id="183" w:name="_Toc190242759"/>
      <w:r w:rsidRPr="00640D01">
        <w:lastRenderedPageBreak/>
        <w:t xml:space="preserve">Appendix </w:t>
      </w:r>
      <w:r w:rsidR="00D1751B" w:rsidRPr="00640D01">
        <w:t>G</w:t>
      </w:r>
      <w:r w:rsidR="008753A7" w:rsidRPr="00640D01">
        <w:t>—</w:t>
      </w:r>
      <w:r w:rsidRPr="00640D01">
        <w:t>Public Involvement Process</w:t>
      </w:r>
      <w:bookmarkEnd w:id="183"/>
    </w:p>
    <w:p w14:paraId="7472C07B" w14:textId="3961871A" w:rsidR="00E4791A" w:rsidRPr="00640D01" w:rsidRDefault="00D1751B" w:rsidP="00F3041F">
      <w:pPr>
        <w:pStyle w:val="Heading2"/>
        <w:numPr>
          <w:ilvl w:val="0"/>
          <w:numId w:val="0"/>
        </w:numPr>
        <w:ind w:left="576" w:hanging="576"/>
      </w:pPr>
      <w:bookmarkStart w:id="184" w:name="_Ref159507579"/>
      <w:bookmarkStart w:id="185" w:name="_Ref159507870"/>
      <w:bookmarkStart w:id="186" w:name="_Toc190242760"/>
      <w:r w:rsidRPr="00640D01">
        <w:t>G</w:t>
      </w:r>
      <w:r w:rsidR="00E4791A" w:rsidRPr="00640D01">
        <w:t>.1 Meeting</w:t>
      </w:r>
      <w:r w:rsidR="0043717C" w:rsidRPr="00640D01">
        <w:t xml:space="preserve"> I</w:t>
      </w:r>
      <w:bookmarkEnd w:id="184"/>
      <w:bookmarkEnd w:id="185"/>
      <w:r w:rsidR="008753A7" w:rsidRPr="00640D01">
        <w:t>nformation</w:t>
      </w:r>
      <w:bookmarkEnd w:id="186"/>
    </w:p>
    <w:p w14:paraId="66065A02" w14:textId="77777777" w:rsidR="00A34609" w:rsidRPr="00640D01" w:rsidRDefault="00A34609" w:rsidP="00DF6D1F">
      <w:pPr>
        <w:pStyle w:val="BodyText"/>
      </w:pPr>
    </w:p>
    <w:p w14:paraId="71D679F7" w14:textId="77777777" w:rsidR="00F276A4" w:rsidRPr="00640D01" w:rsidRDefault="00F276A4">
      <w:pPr>
        <w:spacing w:after="160" w:line="259" w:lineRule="auto"/>
        <w:rPr>
          <w:rFonts w:ascii="Times New Roman Bold" w:eastAsiaTheme="majorEastAsia" w:hAnsi="Times New Roman Bold" w:cstheme="majorBidi"/>
          <w:b/>
          <w:bCs/>
          <w:caps/>
          <w:color w:val="002060"/>
          <w:sz w:val="32"/>
          <w:szCs w:val="32"/>
        </w:rPr>
      </w:pPr>
      <w:r w:rsidRPr="00640D01">
        <w:rPr>
          <w:bCs/>
        </w:rPr>
        <w:br w:type="page"/>
      </w:r>
    </w:p>
    <w:p w14:paraId="74CB53A0" w14:textId="4C970563" w:rsidR="00C45F7B" w:rsidRPr="00640D01" w:rsidRDefault="00E4791A" w:rsidP="00C45F7B">
      <w:pPr>
        <w:pStyle w:val="Heading1"/>
        <w:numPr>
          <w:ilvl w:val="0"/>
          <w:numId w:val="0"/>
        </w:numPr>
        <w:ind w:left="360" w:hanging="360"/>
      </w:pPr>
      <w:bookmarkStart w:id="187" w:name="_Toc190242761"/>
      <w:r w:rsidRPr="00640D01">
        <w:rPr>
          <w:bCs/>
        </w:rPr>
        <w:lastRenderedPageBreak/>
        <w:t xml:space="preserve">Appendix </w:t>
      </w:r>
      <w:r w:rsidR="00D1751B" w:rsidRPr="00640D01">
        <w:rPr>
          <w:bCs/>
        </w:rPr>
        <w:t>H</w:t>
      </w:r>
      <w:r w:rsidR="008753A7" w:rsidRPr="00640D01">
        <w:rPr>
          <w:bCs/>
        </w:rPr>
        <w:t>—</w:t>
      </w:r>
      <w:r w:rsidRPr="00640D01">
        <w:rPr>
          <w:bCs/>
        </w:rPr>
        <w:t>Supplemental Material</w:t>
      </w:r>
      <w:r w:rsidR="008753A7" w:rsidRPr="00640D01">
        <w:t>—</w:t>
      </w:r>
      <w:r w:rsidRPr="00640D01">
        <w:t>Optional</w:t>
      </w:r>
      <w:bookmarkEnd w:id="187"/>
      <w:r w:rsidRPr="00640D01">
        <w:t xml:space="preserve"> </w:t>
      </w:r>
    </w:p>
    <w:p w14:paraId="7C3DF8C1" w14:textId="42E3AE1A" w:rsidR="00716633" w:rsidRPr="00514311" w:rsidRDefault="00514311" w:rsidP="00DF6D1F">
      <w:pPr>
        <w:pStyle w:val="BodyText"/>
        <w:rPr>
          <w:color w:val="7030A0"/>
        </w:rPr>
      </w:pPr>
      <w:r w:rsidRPr="00514311">
        <w:rPr>
          <w:b/>
          <w:bCs/>
          <w:color w:val="7030A0"/>
        </w:rPr>
        <w:t>Instruction:</w:t>
      </w:r>
      <w:r w:rsidRPr="00514311">
        <w:rPr>
          <w:color w:val="7030A0"/>
        </w:rPr>
        <w:t xml:space="preserve"> </w:t>
      </w:r>
      <w:r w:rsidR="00E4791A" w:rsidRPr="00514311">
        <w:rPr>
          <w:color w:val="7030A0"/>
        </w:rPr>
        <w:t>This appendix contains all information that the MPO wishes to share but do</w:t>
      </w:r>
      <w:r w:rsidR="00684C90" w:rsidRPr="00514311">
        <w:rPr>
          <w:color w:val="7030A0"/>
        </w:rPr>
        <w:t>es</w:t>
      </w:r>
      <w:r w:rsidR="00E4791A" w:rsidRPr="00514311">
        <w:rPr>
          <w:color w:val="7030A0"/>
        </w:rPr>
        <w:t xml:space="preserve"> not fit in Appendices A through </w:t>
      </w:r>
      <w:r w:rsidR="00D1751B" w:rsidRPr="00514311">
        <w:rPr>
          <w:color w:val="7030A0"/>
        </w:rPr>
        <w:t>G</w:t>
      </w:r>
      <w:r w:rsidR="00DF6D1F" w:rsidRPr="00514311">
        <w:rPr>
          <w:color w:val="7030A0"/>
        </w:rPr>
        <w:t>.</w:t>
      </w:r>
    </w:p>
    <w:sectPr w:rsidR="00716633" w:rsidRPr="00514311" w:rsidSect="007C4D26">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52A60" w14:textId="77777777" w:rsidR="002174D5" w:rsidRDefault="002174D5" w:rsidP="00E72612">
      <w:pPr>
        <w:spacing w:after="0" w:line="240" w:lineRule="auto"/>
      </w:pPr>
      <w:r>
        <w:separator/>
      </w:r>
    </w:p>
  </w:endnote>
  <w:endnote w:type="continuationSeparator" w:id="0">
    <w:p w14:paraId="60B66EE2" w14:textId="77777777" w:rsidR="002174D5" w:rsidRDefault="002174D5" w:rsidP="00E72612">
      <w:pPr>
        <w:spacing w:after="0" w:line="240" w:lineRule="auto"/>
      </w:pPr>
      <w:r>
        <w:continuationSeparator/>
      </w:r>
    </w:p>
  </w:endnote>
  <w:endnote w:type="continuationNotice" w:id="1">
    <w:p w14:paraId="1FF8AC59" w14:textId="77777777" w:rsidR="002174D5" w:rsidRDefault="002174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79D2" w14:textId="6DC79DAE" w:rsidR="00E72612" w:rsidRDefault="006B411F" w:rsidP="00176A31">
    <w:pPr>
      <w:tabs>
        <w:tab w:val="right" w:pos="9360"/>
      </w:tabs>
    </w:pPr>
    <w:r w:rsidRPr="00112EFB">
      <w:rPr>
        <w:rStyle w:val="Style2"/>
        <w:sz w:val="20"/>
        <w:szCs w:val="20"/>
      </w:rPr>
      <w:fldChar w:fldCharType="begin"/>
    </w:r>
    <w:r w:rsidRPr="00112EFB">
      <w:rPr>
        <w:sz w:val="20"/>
        <w:szCs w:val="20"/>
      </w:rPr>
      <w:instrText xml:space="preserve"> REF MPOName \h </w:instrText>
    </w:r>
    <w:r w:rsidR="00112EFB">
      <w:rPr>
        <w:rStyle w:val="Style2"/>
        <w:sz w:val="20"/>
        <w:szCs w:val="20"/>
      </w:rPr>
      <w:instrText xml:space="preserve"> \* MERGEFORMAT </w:instrText>
    </w:r>
    <w:r w:rsidRPr="00112EFB">
      <w:rPr>
        <w:rStyle w:val="Style2"/>
        <w:sz w:val="20"/>
        <w:szCs w:val="20"/>
      </w:rPr>
    </w:r>
    <w:r w:rsidRPr="00112EFB">
      <w:rPr>
        <w:rStyle w:val="Style2"/>
        <w:sz w:val="20"/>
        <w:szCs w:val="20"/>
      </w:rPr>
      <w:fldChar w:fldCharType="separate"/>
    </w:r>
    <w:sdt>
      <w:sdtPr>
        <w:rPr>
          <w:sz w:val="20"/>
          <w:szCs w:val="20"/>
        </w:rPr>
        <w:alias w:val="Select MPO"/>
        <w:tag w:val="Select MPO"/>
        <w:id w:val="-171872693"/>
        <w:placeholder>
          <w:docPart w:val="0F5F8248ADE045A29973FD4D219D2D72"/>
        </w:placeholder>
        <w:showingPlcHdr/>
        <w:dropDownList>
          <w:listItem w:value="Choose an item."/>
          <w:listItem w:displayText="AAMPO" w:value="AAMPO"/>
          <w:listItem w:displayText="El Paso MPO" w:value="El Paso MPO"/>
          <w:listItem w:displayText="H-GAC" w:value="H-GAC"/>
          <w:listItem w:displayText="NCTCOG" w:value="NCTCOG"/>
          <w:listItem w:displayText="SETRPC" w:value="SETRPC"/>
        </w:dropDownList>
      </w:sdtPr>
      <w:sdtContent>
        <w:r w:rsidR="000727B8" w:rsidRPr="000727B8">
          <w:rPr>
            <w:rStyle w:val="Style2"/>
            <w:sz w:val="20"/>
            <w:szCs w:val="20"/>
          </w:rPr>
          <w:t>[</w:t>
        </w:r>
        <w:r w:rsidR="000727B8" w:rsidRPr="000727B8">
          <w:rPr>
            <w:b/>
            <w:bCs/>
            <w:color w:val="C00000"/>
            <w:sz w:val="20"/>
            <w:szCs w:val="20"/>
          </w:rPr>
          <w:t>MPO Name]</w:t>
        </w:r>
      </w:sdtContent>
    </w:sdt>
    <w:r w:rsidRPr="00112EFB">
      <w:rPr>
        <w:rStyle w:val="Style2"/>
        <w:sz w:val="20"/>
        <w:szCs w:val="20"/>
      </w:rPr>
      <w:fldChar w:fldCharType="end"/>
    </w:r>
    <w:r w:rsidR="004F1D44" w:rsidRPr="00112EFB">
      <w:rPr>
        <w:sz w:val="20"/>
        <w:szCs w:val="20"/>
      </w:rPr>
      <w:t xml:space="preserve"> </w:t>
    </w:r>
    <w:r w:rsidR="00112EFB" w:rsidRPr="00112EFB">
      <w:rPr>
        <w:b/>
        <w:bCs/>
        <w:color w:val="7030A0"/>
        <w:sz w:val="20"/>
        <w:szCs w:val="20"/>
      </w:rPr>
      <w:fldChar w:fldCharType="begin"/>
    </w:r>
    <w:r w:rsidR="00112EFB" w:rsidRPr="00112EFB">
      <w:rPr>
        <w:sz w:val="20"/>
        <w:szCs w:val="20"/>
      </w:rPr>
      <w:instrText xml:space="preserve"> REF ConformityYear \h </w:instrText>
    </w:r>
    <w:r w:rsidR="00112EFB">
      <w:rPr>
        <w:b/>
        <w:bCs/>
        <w:color w:val="7030A0"/>
        <w:sz w:val="20"/>
        <w:szCs w:val="20"/>
      </w:rPr>
      <w:instrText xml:space="preserve"> \* MERGEFORMAT </w:instrText>
    </w:r>
    <w:r w:rsidR="00112EFB" w:rsidRPr="00112EFB">
      <w:rPr>
        <w:b/>
        <w:bCs/>
        <w:color w:val="7030A0"/>
        <w:sz w:val="20"/>
        <w:szCs w:val="20"/>
      </w:rPr>
    </w:r>
    <w:r w:rsidR="00112EFB" w:rsidRPr="00112EFB">
      <w:rPr>
        <w:b/>
        <w:bCs/>
        <w:color w:val="7030A0"/>
        <w:sz w:val="20"/>
        <w:szCs w:val="20"/>
      </w:rPr>
      <w:fldChar w:fldCharType="separate"/>
    </w:r>
    <w:r w:rsidR="000727B8" w:rsidRPr="000727B8">
      <w:rPr>
        <w:b/>
        <w:bCs/>
        <w:color w:val="C00000"/>
        <w:sz w:val="20"/>
        <w:szCs w:val="20"/>
      </w:rPr>
      <w:t>[Conformity Year]</w:t>
    </w:r>
    <w:r w:rsidR="00112EFB" w:rsidRPr="00112EFB">
      <w:rPr>
        <w:b/>
        <w:bCs/>
        <w:color w:val="7030A0"/>
        <w:sz w:val="20"/>
        <w:szCs w:val="20"/>
      </w:rPr>
      <w:fldChar w:fldCharType="end"/>
    </w:r>
    <w:r w:rsidR="00441620">
      <w:rPr>
        <w:b/>
        <w:bCs/>
        <w:color w:val="7030A0"/>
        <w:sz w:val="20"/>
        <w:szCs w:val="20"/>
      </w:rPr>
      <w:t xml:space="preserve"> </w:t>
    </w:r>
    <w:r w:rsidR="00464CF5" w:rsidRPr="00112EFB">
      <w:rPr>
        <w:sz w:val="20"/>
        <w:szCs w:val="20"/>
      </w:rPr>
      <w:t>Transportation Conformity</w:t>
    </w:r>
    <w:r w:rsidR="00094FD0" w:rsidRPr="00112EFB">
      <w:rPr>
        <w:sz w:val="20"/>
        <w:szCs w:val="20"/>
      </w:rPr>
      <w:tab/>
    </w:r>
    <w:r w:rsidR="00094FD0">
      <w:t xml:space="preserve">Page | </w:t>
    </w:r>
    <w:r w:rsidR="00094FD0">
      <w:fldChar w:fldCharType="begin"/>
    </w:r>
    <w:r w:rsidR="00094FD0">
      <w:instrText xml:space="preserve"> PAGE   \* MERGEFORMAT </w:instrText>
    </w:r>
    <w:r w:rsidR="00094FD0">
      <w:fldChar w:fldCharType="separate"/>
    </w:r>
    <w:r w:rsidR="00094FD0">
      <w:rPr>
        <w:noProof/>
      </w:rPr>
      <w:t>1</w:t>
    </w:r>
    <w:r w:rsidR="00094F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5639" w14:textId="71A739C7" w:rsidR="000727B8" w:rsidRDefault="000727B8" w:rsidP="000727B8">
    <w:pPr>
      <w:tabs>
        <w:tab w:val="right" w:pos="12960"/>
      </w:tabs>
    </w:pPr>
    <w:r w:rsidRPr="00112EFB">
      <w:rPr>
        <w:rStyle w:val="Style2"/>
        <w:sz w:val="20"/>
        <w:szCs w:val="20"/>
      </w:rPr>
      <w:fldChar w:fldCharType="begin"/>
    </w:r>
    <w:r w:rsidRPr="00112EFB">
      <w:rPr>
        <w:sz w:val="20"/>
        <w:szCs w:val="20"/>
      </w:rPr>
      <w:instrText xml:space="preserve"> REF MPOName \h </w:instrText>
    </w:r>
    <w:r>
      <w:rPr>
        <w:rStyle w:val="Style2"/>
        <w:sz w:val="20"/>
        <w:szCs w:val="20"/>
      </w:rPr>
      <w:instrText xml:space="preserve"> \* MERGEFORMAT </w:instrText>
    </w:r>
    <w:r w:rsidRPr="00112EFB">
      <w:rPr>
        <w:rStyle w:val="Style2"/>
        <w:sz w:val="20"/>
        <w:szCs w:val="20"/>
      </w:rPr>
    </w:r>
    <w:r w:rsidRPr="00112EFB">
      <w:rPr>
        <w:rStyle w:val="Style2"/>
        <w:sz w:val="20"/>
        <w:szCs w:val="20"/>
      </w:rPr>
      <w:fldChar w:fldCharType="separate"/>
    </w:r>
    <w:sdt>
      <w:sdtPr>
        <w:rPr>
          <w:sz w:val="20"/>
          <w:szCs w:val="20"/>
        </w:rPr>
        <w:alias w:val="Select MPO"/>
        <w:tag w:val="Select MPO"/>
        <w:id w:val="689493997"/>
        <w:placeholder>
          <w:docPart w:val="A3D2F5B733B544CB829EADE9F6BA4C0D"/>
        </w:placeholder>
        <w:showingPlcHdr/>
        <w:dropDownList>
          <w:listItem w:value="Choose an item."/>
          <w:listItem w:displayText="AAMPO" w:value="AAMPO"/>
          <w:listItem w:displayText="El Paso MPO" w:value="El Paso MPO"/>
          <w:listItem w:displayText="H-GAC" w:value="H-GAC"/>
          <w:listItem w:displayText="NCTCOG" w:value="NCTCOG"/>
          <w:listItem w:displayText="SETRPC" w:value="SETRPC"/>
        </w:dropDownList>
      </w:sdtPr>
      <w:sdtContent>
        <w:r w:rsidRPr="000727B8">
          <w:rPr>
            <w:rStyle w:val="Style2"/>
            <w:sz w:val="20"/>
            <w:szCs w:val="20"/>
          </w:rPr>
          <w:t>[</w:t>
        </w:r>
        <w:r w:rsidRPr="000727B8">
          <w:rPr>
            <w:b/>
            <w:bCs/>
            <w:color w:val="C00000"/>
            <w:sz w:val="20"/>
            <w:szCs w:val="20"/>
          </w:rPr>
          <w:t>MPO Name]</w:t>
        </w:r>
      </w:sdtContent>
    </w:sdt>
    <w:r w:rsidRPr="00112EFB">
      <w:rPr>
        <w:rStyle w:val="Style2"/>
        <w:sz w:val="20"/>
        <w:szCs w:val="20"/>
      </w:rPr>
      <w:fldChar w:fldCharType="end"/>
    </w:r>
    <w:r w:rsidRPr="00112EFB">
      <w:rPr>
        <w:sz w:val="20"/>
        <w:szCs w:val="20"/>
      </w:rPr>
      <w:t xml:space="preserve"> </w:t>
    </w:r>
    <w:r w:rsidRPr="00112EFB">
      <w:rPr>
        <w:b/>
        <w:bCs/>
        <w:color w:val="7030A0"/>
        <w:sz w:val="20"/>
        <w:szCs w:val="20"/>
      </w:rPr>
      <w:fldChar w:fldCharType="begin"/>
    </w:r>
    <w:r w:rsidRPr="00112EFB">
      <w:rPr>
        <w:sz w:val="20"/>
        <w:szCs w:val="20"/>
      </w:rPr>
      <w:instrText xml:space="preserve"> REF ConformityYear \h </w:instrText>
    </w:r>
    <w:r>
      <w:rPr>
        <w:b/>
        <w:bCs/>
        <w:color w:val="7030A0"/>
        <w:sz w:val="20"/>
        <w:szCs w:val="20"/>
      </w:rPr>
      <w:instrText xml:space="preserve"> \* MERGEFORMAT </w:instrText>
    </w:r>
    <w:r w:rsidRPr="00112EFB">
      <w:rPr>
        <w:b/>
        <w:bCs/>
        <w:color w:val="7030A0"/>
        <w:sz w:val="20"/>
        <w:szCs w:val="20"/>
      </w:rPr>
    </w:r>
    <w:r w:rsidRPr="00112EFB">
      <w:rPr>
        <w:b/>
        <w:bCs/>
        <w:color w:val="7030A0"/>
        <w:sz w:val="20"/>
        <w:szCs w:val="20"/>
      </w:rPr>
      <w:fldChar w:fldCharType="separate"/>
    </w:r>
    <w:r w:rsidRPr="000727B8">
      <w:rPr>
        <w:b/>
        <w:bCs/>
        <w:color w:val="C00000"/>
        <w:sz w:val="20"/>
        <w:szCs w:val="20"/>
      </w:rPr>
      <w:t>[Conformity Year]</w:t>
    </w:r>
    <w:r w:rsidRPr="00112EFB">
      <w:rPr>
        <w:b/>
        <w:bCs/>
        <w:color w:val="7030A0"/>
        <w:sz w:val="20"/>
        <w:szCs w:val="20"/>
      </w:rPr>
      <w:fldChar w:fldCharType="end"/>
    </w:r>
    <w:r>
      <w:rPr>
        <w:b/>
        <w:bCs/>
        <w:color w:val="7030A0"/>
        <w:sz w:val="20"/>
        <w:szCs w:val="20"/>
      </w:rPr>
      <w:t xml:space="preserve"> </w:t>
    </w:r>
    <w:r w:rsidRPr="00112EFB">
      <w:rPr>
        <w:sz w:val="20"/>
        <w:szCs w:val="20"/>
      </w:rPr>
      <w:t>Transportation Conformity</w:t>
    </w:r>
    <w:r w:rsidRPr="00112EFB">
      <w:rPr>
        <w:sz w:val="20"/>
        <w:szCs w:val="20"/>
      </w:rPr>
      <w:tab/>
    </w:r>
    <w:r>
      <w:t xml:space="preserve">Page |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28CC" w14:textId="166CA39D" w:rsidR="000727B8" w:rsidRDefault="000727B8" w:rsidP="00176A31">
    <w:pPr>
      <w:tabs>
        <w:tab w:val="right" w:pos="9360"/>
      </w:tabs>
    </w:pPr>
    <w:r w:rsidRPr="00112EFB">
      <w:rPr>
        <w:rStyle w:val="Style2"/>
        <w:sz w:val="20"/>
        <w:szCs w:val="20"/>
      </w:rPr>
      <w:fldChar w:fldCharType="begin"/>
    </w:r>
    <w:r w:rsidRPr="00112EFB">
      <w:rPr>
        <w:sz w:val="20"/>
        <w:szCs w:val="20"/>
      </w:rPr>
      <w:instrText xml:space="preserve"> REF MPOName \h </w:instrText>
    </w:r>
    <w:r>
      <w:rPr>
        <w:rStyle w:val="Style2"/>
        <w:sz w:val="20"/>
        <w:szCs w:val="20"/>
      </w:rPr>
      <w:instrText xml:space="preserve"> \* MERGEFORMAT </w:instrText>
    </w:r>
    <w:r w:rsidRPr="00112EFB">
      <w:rPr>
        <w:rStyle w:val="Style2"/>
        <w:sz w:val="20"/>
        <w:szCs w:val="20"/>
      </w:rPr>
    </w:r>
    <w:r w:rsidRPr="00112EFB">
      <w:rPr>
        <w:rStyle w:val="Style2"/>
        <w:sz w:val="20"/>
        <w:szCs w:val="20"/>
      </w:rPr>
      <w:fldChar w:fldCharType="separate"/>
    </w:r>
    <w:sdt>
      <w:sdtPr>
        <w:rPr>
          <w:sz w:val="20"/>
          <w:szCs w:val="20"/>
        </w:rPr>
        <w:alias w:val="Select MPO"/>
        <w:tag w:val="Select MPO"/>
        <w:id w:val="1395849082"/>
        <w:placeholder>
          <w:docPart w:val="C519C09DB7EA49F9B57EFEC440EE1D19"/>
        </w:placeholder>
        <w:showingPlcHdr/>
        <w:dropDownList>
          <w:listItem w:value="Choose an item."/>
          <w:listItem w:displayText="AAMPO" w:value="AAMPO"/>
          <w:listItem w:displayText="El Paso MPO" w:value="El Paso MPO"/>
          <w:listItem w:displayText="H-GAC" w:value="H-GAC"/>
          <w:listItem w:displayText="NCTCOG" w:value="NCTCOG"/>
          <w:listItem w:displayText="SETRPC" w:value="SETRPC"/>
        </w:dropDownList>
      </w:sdtPr>
      <w:sdtContent>
        <w:r w:rsidRPr="000727B8">
          <w:rPr>
            <w:rStyle w:val="Style2"/>
            <w:sz w:val="20"/>
            <w:szCs w:val="20"/>
          </w:rPr>
          <w:t>[</w:t>
        </w:r>
        <w:r w:rsidRPr="000727B8">
          <w:rPr>
            <w:b/>
            <w:bCs/>
            <w:color w:val="C00000"/>
            <w:sz w:val="20"/>
            <w:szCs w:val="20"/>
          </w:rPr>
          <w:t>MPO Name]</w:t>
        </w:r>
      </w:sdtContent>
    </w:sdt>
    <w:r w:rsidRPr="00112EFB">
      <w:rPr>
        <w:rStyle w:val="Style2"/>
        <w:sz w:val="20"/>
        <w:szCs w:val="20"/>
      </w:rPr>
      <w:fldChar w:fldCharType="end"/>
    </w:r>
    <w:r w:rsidRPr="00112EFB">
      <w:rPr>
        <w:sz w:val="20"/>
        <w:szCs w:val="20"/>
      </w:rPr>
      <w:t xml:space="preserve"> </w:t>
    </w:r>
    <w:r w:rsidRPr="00112EFB">
      <w:rPr>
        <w:b/>
        <w:bCs/>
        <w:color w:val="7030A0"/>
        <w:sz w:val="20"/>
        <w:szCs w:val="20"/>
      </w:rPr>
      <w:fldChar w:fldCharType="begin"/>
    </w:r>
    <w:r w:rsidRPr="00112EFB">
      <w:rPr>
        <w:sz w:val="20"/>
        <w:szCs w:val="20"/>
      </w:rPr>
      <w:instrText xml:space="preserve"> REF ConformityYear \h </w:instrText>
    </w:r>
    <w:r>
      <w:rPr>
        <w:b/>
        <w:bCs/>
        <w:color w:val="7030A0"/>
        <w:sz w:val="20"/>
        <w:szCs w:val="20"/>
      </w:rPr>
      <w:instrText xml:space="preserve"> \* MERGEFORMAT </w:instrText>
    </w:r>
    <w:r w:rsidRPr="00112EFB">
      <w:rPr>
        <w:b/>
        <w:bCs/>
        <w:color w:val="7030A0"/>
        <w:sz w:val="20"/>
        <w:szCs w:val="20"/>
      </w:rPr>
    </w:r>
    <w:r w:rsidRPr="00112EFB">
      <w:rPr>
        <w:b/>
        <w:bCs/>
        <w:color w:val="7030A0"/>
        <w:sz w:val="20"/>
        <w:szCs w:val="20"/>
      </w:rPr>
      <w:fldChar w:fldCharType="separate"/>
    </w:r>
    <w:r w:rsidRPr="000727B8">
      <w:rPr>
        <w:b/>
        <w:bCs/>
        <w:color w:val="C00000"/>
        <w:sz w:val="20"/>
        <w:szCs w:val="20"/>
      </w:rPr>
      <w:t>[Conformity Year]</w:t>
    </w:r>
    <w:r w:rsidRPr="00112EFB">
      <w:rPr>
        <w:b/>
        <w:bCs/>
        <w:color w:val="7030A0"/>
        <w:sz w:val="20"/>
        <w:szCs w:val="20"/>
      </w:rPr>
      <w:fldChar w:fldCharType="end"/>
    </w:r>
    <w:r>
      <w:rPr>
        <w:b/>
        <w:bCs/>
        <w:color w:val="7030A0"/>
        <w:sz w:val="20"/>
        <w:szCs w:val="20"/>
      </w:rPr>
      <w:t xml:space="preserve"> </w:t>
    </w:r>
    <w:r w:rsidRPr="00112EFB">
      <w:rPr>
        <w:sz w:val="20"/>
        <w:szCs w:val="20"/>
      </w:rPr>
      <w:t>Transportation Conformity</w:t>
    </w:r>
    <w:r w:rsidRPr="00112EFB">
      <w:rPr>
        <w:sz w:val="20"/>
        <w:szCs w:val="20"/>
      </w:rPr>
      <w:tab/>
    </w: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EFD7F" w14:textId="77777777" w:rsidR="002174D5" w:rsidRDefault="002174D5" w:rsidP="00E72612">
      <w:pPr>
        <w:spacing w:after="0" w:line="240" w:lineRule="auto"/>
      </w:pPr>
      <w:r>
        <w:separator/>
      </w:r>
    </w:p>
  </w:footnote>
  <w:footnote w:type="continuationSeparator" w:id="0">
    <w:p w14:paraId="55485167" w14:textId="77777777" w:rsidR="002174D5" w:rsidRDefault="002174D5" w:rsidP="00E72612">
      <w:pPr>
        <w:spacing w:after="0" w:line="240" w:lineRule="auto"/>
      </w:pPr>
      <w:r>
        <w:continuationSeparator/>
      </w:r>
    </w:p>
  </w:footnote>
  <w:footnote w:type="continuationNotice" w:id="1">
    <w:p w14:paraId="70A249D1" w14:textId="77777777" w:rsidR="002174D5" w:rsidRDefault="002174D5">
      <w:pPr>
        <w:spacing w:after="0" w:line="240" w:lineRule="auto"/>
      </w:pPr>
    </w:p>
  </w:footnote>
  <w:footnote w:id="2">
    <w:p w14:paraId="197C235E" w14:textId="0B47BA29" w:rsidR="00300B6C" w:rsidRDefault="00300B6C">
      <w:pPr>
        <w:pStyle w:val="FootnoteText"/>
      </w:pPr>
      <w:r>
        <w:rPr>
          <w:rStyle w:val="FootnoteReference"/>
        </w:rPr>
        <w:footnoteRef/>
      </w:r>
      <w:r>
        <w:t xml:space="preserve"> </w:t>
      </w:r>
      <w:r w:rsidR="000C4CCA">
        <w:t>The</w:t>
      </w:r>
      <w:r w:rsidR="009B2374">
        <w:t xml:space="preserve"> </w:t>
      </w:r>
      <w:r w:rsidR="000C4CCA">
        <w:t>less-than-baseline test</w:t>
      </w:r>
      <w:r w:rsidR="009B2374">
        <w:t>’s baseline year</w:t>
      </w:r>
      <w:r w:rsidR="00A05E38">
        <w:t xml:space="preserve"> </w:t>
      </w:r>
      <w:r w:rsidR="000C4CCA">
        <w:t>(</w:t>
      </w:r>
      <w:r w:rsidR="009B2374">
        <w:t xml:space="preserve">applicable to </w:t>
      </w:r>
      <w:r w:rsidR="000C4CCA" w:rsidRPr="000C4CCA">
        <w:t>NAAQS</w:t>
      </w:r>
      <w:r w:rsidR="009B2374">
        <w:t>s</w:t>
      </w:r>
      <w:r w:rsidR="000C4CCA" w:rsidRPr="000C4CCA">
        <w:t xml:space="preserve"> promulgated after 1997</w:t>
      </w:r>
      <w:r w:rsidR="000C4CCA">
        <w:t xml:space="preserve">) </w:t>
      </w:r>
      <w:r w:rsidR="00A05E38">
        <w:t xml:space="preserve">is the most recent year for which EPA’s </w:t>
      </w:r>
      <w:r w:rsidR="00A05E38" w:rsidRPr="00A05E38">
        <w:t>Air Emission Reporting Rule (</w:t>
      </w:r>
      <w:r w:rsidR="00925B2E">
        <w:t xml:space="preserve">Title </w:t>
      </w:r>
      <w:r w:rsidR="00A05E38" w:rsidRPr="00A05E38">
        <w:t>40</w:t>
      </w:r>
      <w:r w:rsidR="00925B2E">
        <w:t xml:space="preserve"> of the Code of Federal Regulations</w:t>
      </w:r>
      <w:r w:rsidR="00B23102">
        <w:t>,</w:t>
      </w:r>
      <w:r w:rsidR="00925B2E">
        <w:t xml:space="preserve"> </w:t>
      </w:r>
      <w:r w:rsidR="00A05E38" w:rsidRPr="00A05E38">
        <w:t>Part 51, Subpart</w:t>
      </w:r>
      <w:r w:rsidR="00925B2E">
        <w:t> </w:t>
      </w:r>
      <w:r w:rsidR="00A05E38" w:rsidRPr="00A05E38">
        <w:t>A) require</w:t>
      </w:r>
      <w:r w:rsidR="00060953">
        <w:t>d</w:t>
      </w:r>
      <w:r w:rsidR="00A05E38" w:rsidRPr="00A05E38">
        <w:t xml:space="preserve"> submission of on-road mobile source emissions inventories</w:t>
      </w:r>
      <w:r w:rsidR="00060953">
        <w:t xml:space="preserve">, as of the effective date of nonattainment designation. For example, an area designated nonattainment </w:t>
      </w:r>
      <w:r w:rsidR="00060953" w:rsidRPr="006A405C">
        <w:t>in 2018 would have a baseline year of 2017, the most recent year of Texas’</w:t>
      </w:r>
      <w:r w:rsidR="00996E9D" w:rsidRPr="006A405C">
        <w:t>s</w:t>
      </w:r>
      <w:r w:rsidR="00060953" w:rsidRPr="006A405C">
        <w:t xml:space="preserve"> triennial </w:t>
      </w:r>
      <w:r w:rsidR="00A05E38" w:rsidRPr="006A405C">
        <w:t xml:space="preserve">on-road mobile </w:t>
      </w:r>
      <w:r w:rsidR="004C5DA4" w:rsidRPr="006A405C">
        <w:t>emission inventory (</w:t>
      </w:r>
      <w:r w:rsidR="00117DD3" w:rsidRPr="006A405C">
        <w:t xml:space="preserve">emissions inventory </w:t>
      </w:r>
      <w:r w:rsidR="00996E9D" w:rsidRPr="006A405C">
        <w:t>[</w:t>
      </w:r>
      <w:r w:rsidR="00060953" w:rsidRPr="006A405C">
        <w:t>EI</w:t>
      </w:r>
      <w:r w:rsidR="00996E9D" w:rsidRPr="006A405C">
        <w:t>]</w:t>
      </w:r>
      <w:r w:rsidR="00060953" w:rsidRPr="006A405C">
        <w:t xml:space="preserve"> submittal to EPA under the </w:t>
      </w:r>
      <w:r w:rsidR="004C5DA4" w:rsidRPr="006A405C">
        <w:t xml:space="preserve">Air Emissions Reporting Requirements </w:t>
      </w:r>
      <w:r w:rsidR="00996E9D" w:rsidRPr="006A405C">
        <w:t>[</w:t>
      </w:r>
      <w:r w:rsidR="00060953" w:rsidRPr="006A405C">
        <w:t>AER</w:t>
      </w:r>
      <w:r w:rsidR="00996E9D" w:rsidRPr="006A405C">
        <w:t>R]</w:t>
      </w:r>
      <w:r w:rsidR="00117DD3" w:rsidRPr="006A405C">
        <w:t>)</w:t>
      </w:r>
      <w:r w:rsidR="00060953" w:rsidRPr="006A405C">
        <w:t>, at the time of designation.</w:t>
      </w:r>
    </w:p>
  </w:footnote>
  <w:footnote w:id="3">
    <w:p w14:paraId="4A461C5B" w14:textId="59BD6187" w:rsidR="00DE2F9C" w:rsidRDefault="00DE2F9C" w:rsidP="00DE2F9C">
      <w:pPr>
        <w:pStyle w:val="FootnoteText"/>
      </w:pPr>
      <w:r>
        <w:rPr>
          <w:rStyle w:val="FootnoteReference"/>
        </w:rPr>
        <w:footnoteRef/>
      </w:r>
      <w:r>
        <w:t xml:space="preserve"> Information on the 2015 8-hour ozone moderate nonattainment status, effective November 7, 2022, is available </w:t>
      </w:r>
      <w:r w:rsidR="00444D16">
        <w:t>at</w:t>
      </w:r>
      <w:r>
        <w:t xml:space="preserve"> </w:t>
      </w:r>
      <w:hyperlink r:id="rId1" w:history="1">
        <w:r w:rsidRPr="00A0444B">
          <w:rPr>
            <w:rStyle w:val="Hyperlink"/>
          </w:rPr>
          <w:t>https://www.gpo.gov/fdsys/pkg/FR-2015-10-26/pdf/2015-26594.pdf</w:t>
        </w:r>
      </w:hyperlink>
      <w:r>
        <w:t xml:space="preserve">. </w:t>
      </w:r>
    </w:p>
  </w:footnote>
  <w:footnote w:id="4">
    <w:p w14:paraId="7EBAB136" w14:textId="2D1A8F88" w:rsidR="00DE2F9C" w:rsidRDefault="00DE2F9C" w:rsidP="00DE2F9C">
      <w:pPr>
        <w:pStyle w:val="FootnoteText"/>
      </w:pPr>
      <w:r>
        <w:rPr>
          <w:rStyle w:val="FootnoteReference"/>
        </w:rPr>
        <w:footnoteRef/>
      </w:r>
      <w:r>
        <w:t xml:space="preserve"> Information on the 2008 8-hour ozone severe nonattainment status, effective November 7, 2022, is available </w:t>
      </w:r>
      <w:r w:rsidR="00444D16">
        <w:t>at</w:t>
      </w:r>
      <w:r>
        <w:t xml:space="preserve"> </w:t>
      </w:r>
      <w:hyperlink r:id="rId2" w:history="1">
        <w:r w:rsidRPr="00A0444B">
          <w:rPr>
            <w:rStyle w:val="Hyperlink"/>
          </w:rPr>
          <w:t>https://www.govinfo.gov/content/pkg/FR-2022-10-07/pdf/2022-20458.pdf</w:t>
        </w:r>
      </w:hyperlink>
      <w:r w:rsidR="00444D16">
        <w:t>.</w:t>
      </w:r>
    </w:p>
  </w:footnote>
  <w:footnote w:id="5">
    <w:p w14:paraId="6860CFA4" w14:textId="77938345" w:rsidR="003B2833" w:rsidRDefault="003B2833" w:rsidP="003B2833">
      <w:pPr>
        <w:pStyle w:val="FootnoteText"/>
      </w:pPr>
      <w:r w:rsidRPr="006A405C">
        <w:rPr>
          <w:rStyle w:val="FootnoteReference"/>
          <w:color w:val="7030A0"/>
        </w:rPr>
        <w:footnoteRef/>
      </w:r>
      <w:r w:rsidR="00D1346C" w:rsidRPr="006A405C">
        <w:rPr>
          <w:color w:val="7030A0"/>
        </w:rPr>
        <w:t xml:space="preserve"> </w:t>
      </w:r>
      <w:r w:rsidRPr="006A405C">
        <w:rPr>
          <w:color w:val="7030A0"/>
        </w:rPr>
        <w:t xml:space="preserve">More information on </w:t>
      </w:r>
      <w:r w:rsidR="00B23102" w:rsidRPr="006A405C">
        <w:rPr>
          <w:i/>
          <w:iCs/>
          <w:color w:val="7030A0"/>
        </w:rPr>
        <w:t>Federal Register</w:t>
      </w:r>
      <w:r w:rsidR="00B23102" w:rsidRPr="006A405C">
        <w:rPr>
          <w:color w:val="7030A0"/>
        </w:rPr>
        <w:t xml:space="preserve"> Volume 81, page</w:t>
      </w:r>
      <w:r w:rsidRPr="006A405C">
        <w:rPr>
          <w:color w:val="7030A0"/>
        </w:rPr>
        <w:t xml:space="preserve"> 78591</w:t>
      </w:r>
      <w:r w:rsidR="00B23102" w:rsidRPr="006A405C">
        <w:rPr>
          <w:color w:val="7030A0"/>
        </w:rPr>
        <w:t>,</w:t>
      </w:r>
      <w:r w:rsidRPr="006A405C">
        <w:rPr>
          <w:color w:val="7030A0"/>
        </w:rPr>
        <w:t xml:space="preserve"> is available</w:t>
      </w:r>
      <w:r w:rsidR="00EA20D2" w:rsidRPr="006A405C">
        <w:rPr>
          <w:color w:val="7030A0"/>
        </w:rPr>
        <w:t xml:space="preserve"> at </w:t>
      </w:r>
      <w:hyperlink r:id="rId3" w:history="1">
        <w:r w:rsidR="00EA20D2" w:rsidRPr="006A405C">
          <w:rPr>
            <w:rStyle w:val="Hyperlink"/>
            <w:color w:val="7030A0"/>
          </w:rPr>
          <w:t>https://www.federalregister.gov/documents/2016/11/08/2016-26957/adequacy-status-of-the-dallas-fort-worth-texas-attainment-demonstration-8-hour-ozone-motor-vehicle</w:t>
        </w:r>
      </w:hyperlink>
      <w:r w:rsidR="00EA20D2" w:rsidRPr="006A405C">
        <w:rPr>
          <w:color w:val="7030A0"/>
        </w:rPr>
        <w:t xml:space="preserve"> </w:t>
      </w:r>
      <w:r w:rsidRPr="006A405C">
        <w:rPr>
          <w:color w:val="7030A0"/>
        </w:rPr>
        <w:t>(edit the link).</w:t>
      </w:r>
    </w:p>
  </w:footnote>
  <w:footnote w:id="6">
    <w:p w14:paraId="5D4017B3" w14:textId="711FE606" w:rsidR="000C515D" w:rsidRDefault="000C515D" w:rsidP="000C515D">
      <w:pPr>
        <w:pStyle w:val="FootnoteText"/>
      </w:pPr>
      <w:r>
        <w:rPr>
          <w:rStyle w:val="FootnoteReference"/>
        </w:rPr>
        <w:footnoteRef/>
      </w:r>
      <w:r>
        <w:t xml:space="preserve"> The less-than-baseline test’s baseline year (applicable to </w:t>
      </w:r>
      <w:r w:rsidRPr="000C4CCA">
        <w:t>NAAQS</w:t>
      </w:r>
      <w:r>
        <w:t>s</w:t>
      </w:r>
      <w:r w:rsidRPr="000C4CCA">
        <w:t xml:space="preserve"> promulgated after 1997</w:t>
      </w:r>
      <w:r>
        <w:t xml:space="preserve">) is the most recent year for which EPA’s </w:t>
      </w:r>
      <w:r w:rsidRPr="00A05E38">
        <w:t>Air Emission Reporting Rule (40 CFR 51, Subpart A) require</w:t>
      </w:r>
      <w:r>
        <w:t>d</w:t>
      </w:r>
      <w:r w:rsidRPr="00A05E38">
        <w:t xml:space="preserve"> submission of on-road mobile source emissions inventories</w:t>
      </w:r>
      <w:r>
        <w:t>, as of the effective date of nonattainment designation. For example, an area designated nonattainment in 2018 would have a baseline year of 2017, the most recent year of Texas’</w:t>
      </w:r>
      <w:r w:rsidR="005112F0">
        <w:t>s</w:t>
      </w:r>
      <w:r>
        <w:t xml:space="preserve"> triennial on-road mobile </w:t>
      </w:r>
      <w:r w:rsidR="005112F0">
        <w:t xml:space="preserve">inventory </w:t>
      </w:r>
      <w:r w:rsidRPr="00117DD3">
        <w:t>(EI submittal to EPA under the AERR</w:t>
      </w:r>
      <w:r w:rsidR="00117DD3" w:rsidRPr="00117DD3">
        <w:t>)</w:t>
      </w:r>
      <w:r w:rsidRPr="00117DD3">
        <w:t>, at</w:t>
      </w:r>
      <w:r>
        <w:t xml:space="preserve"> the time of designation.</w:t>
      </w:r>
    </w:p>
  </w:footnote>
  <w:footnote w:id="7">
    <w:p w14:paraId="1B954CE9" w14:textId="77777777" w:rsidR="00684A5F" w:rsidRDefault="00684A5F" w:rsidP="00684A5F">
      <w:pPr>
        <w:pStyle w:val="FootnoteText"/>
      </w:pPr>
      <w:r>
        <w:rPr>
          <w:rStyle w:val="FootnoteReference"/>
        </w:rPr>
        <w:footnoteRef/>
      </w:r>
      <w:r>
        <w:t xml:space="preserve"> </w:t>
      </w:r>
      <w:r w:rsidRPr="00176A31">
        <w:rPr>
          <w:i/>
          <w:iCs/>
        </w:rPr>
        <w:t>Heavy-Duty Vehicle Idle Activity Study, Final Report</w:t>
      </w:r>
      <w:r>
        <w:t>. Texas A&amp;M Transportation Institute, Environment and Air Quality Division, July 2019.</w:t>
      </w:r>
    </w:p>
  </w:footnote>
  <w:footnote w:id="8">
    <w:p w14:paraId="49B45252" w14:textId="2D932E2B" w:rsidR="00684A5F" w:rsidRDefault="00684A5F" w:rsidP="00684A5F">
      <w:pPr>
        <w:pStyle w:val="FootnoteText"/>
      </w:pPr>
      <w:r>
        <w:rPr>
          <w:rStyle w:val="FootnoteReference"/>
        </w:rPr>
        <w:footnoteRef/>
      </w:r>
      <w:r>
        <w:t xml:space="preserve"> Only SHEI and APU diesel hoteling generate</w:t>
      </w:r>
      <w:r w:rsidR="007C3F9A">
        <w:t>s</w:t>
      </w:r>
      <w:r>
        <w:t xml:space="preserve"> emissions. The other fractions are calculated for completeness.</w:t>
      </w:r>
    </w:p>
  </w:footnote>
  <w:footnote w:id="9">
    <w:p w14:paraId="44D517F5" w14:textId="770BF205" w:rsidR="007F72BC" w:rsidRDefault="007F72BC">
      <w:pPr>
        <w:pStyle w:val="FootnoteText"/>
      </w:pPr>
      <w:r>
        <w:rPr>
          <w:rStyle w:val="FootnoteReference"/>
        </w:rPr>
        <w:footnoteRef/>
      </w:r>
      <w:r>
        <w:t xml:space="preserve"> </w:t>
      </w:r>
      <w:r w:rsidR="00A4718F" w:rsidRPr="00176A31">
        <w:rPr>
          <w:i/>
          <w:iCs/>
        </w:rPr>
        <w:t>Federal Register</w:t>
      </w:r>
      <w:r w:rsidR="00A4718F" w:rsidRPr="00A4718F">
        <w:t xml:space="preserve"> Notice of Availability</w:t>
      </w:r>
      <w:r w:rsidR="009B66B3">
        <w:t>,</w:t>
      </w:r>
      <w:r w:rsidR="009B66B3" w:rsidRPr="00A4718F">
        <w:t xml:space="preserve"> </w:t>
      </w:r>
      <w:hyperlink r:id="rId4" w:history="1">
        <w:r w:rsidRPr="000D5E14">
          <w:rPr>
            <w:rStyle w:val="Hyperlink"/>
          </w:rPr>
          <w:t>https://www.govinfo.gov/content/pkg/FR-2023-09-12/pdf/2023-19116.pdf</w:t>
        </w:r>
      </w:hyperlink>
      <w:r>
        <w:t xml:space="preserve">. </w:t>
      </w:r>
    </w:p>
  </w:footnote>
  <w:footnote w:id="10">
    <w:p w14:paraId="1FCD9BC9" w14:textId="4FDCA77B" w:rsidR="007255CB" w:rsidRDefault="007255CB">
      <w:pPr>
        <w:pStyle w:val="FootnoteText"/>
      </w:pPr>
      <w:r>
        <w:rPr>
          <w:rStyle w:val="FootnoteReference"/>
        </w:rPr>
        <w:footnoteRef/>
      </w:r>
      <w:r>
        <w:t xml:space="preserve"> FHWA acts as </w:t>
      </w:r>
      <w:r w:rsidR="00494DA4">
        <w:t xml:space="preserve">the </w:t>
      </w:r>
      <w:r>
        <w:t>executive agent for FTA.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69DF" w14:textId="629C2BEE" w:rsidR="00AA0410" w:rsidRDefault="00AA0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F4DD" w14:textId="1C4E3354" w:rsidR="00AA0410" w:rsidRDefault="00AA0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FF44" w14:textId="03DD79F4" w:rsidR="00AA0410" w:rsidRDefault="00AA0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35A439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F39061A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9FE8F7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0F7CFD"/>
    <w:multiLevelType w:val="hybridMultilevel"/>
    <w:tmpl w:val="B73023F6"/>
    <w:lvl w:ilvl="0" w:tplc="0338F2C2">
      <w:start w:val="5"/>
      <w:numFmt w:val="decimal"/>
      <w:lvlText w:val="%1."/>
      <w:lvlJc w:val="left"/>
      <w:pPr>
        <w:tabs>
          <w:tab w:val="num" w:pos="720"/>
        </w:tabs>
        <w:ind w:left="720" w:hanging="360"/>
      </w:pPr>
    </w:lvl>
    <w:lvl w:ilvl="1" w:tplc="89ECAB76" w:tentative="1">
      <w:start w:val="1"/>
      <w:numFmt w:val="decimal"/>
      <w:lvlText w:val="%2."/>
      <w:lvlJc w:val="left"/>
      <w:pPr>
        <w:tabs>
          <w:tab w:val="num" w:pos="1440"/>
        </w:tabs>
        <w:ind w:left="1440" w:hanging="360"/>
      </w:pPr>
    </w:lvl>
    <w:lvl w:ilvl="2" w:tplc="7A9C3AAA" w:tentative="1">
      <w:start w:val="1"/>
      <w:numFmt w:val="decimal"/>
      <w:lvlText w:val="%3."/>
      <w:lvlJc w:val="left"/>
      <w:pPr>
        <w:tabs>
          <w:tab w:val="num" w:pos="2160"/>
        </w:tabs>
        <w:ind w:left="2160" w:hanging="360"/>
      </w:pPr>
    </w:lvl>
    <w:lvl w:ilvl="3" w:tplc="F6140AAC" w:tentative="1">
      <w:start w:val="1"/>
      <w:numFmt w:val="decimal"/>
      <w:lvlText w:val="%4."/>
      <w:lvlJc w:val="left"/>
      <w:pPr>
        <w:tabs>
          <w:tab w:val="num" w:pos="2880"/>
        </w:tabs>
        <w:ind w:left="2880" w:hanging="360"/>
      </w:pPr>
    </w:lvl>
    <w:lvl w:ilvl="4" w:tplc="EB6627DC" w:tentative="1">
      <w:start w:val="1"/>
      <w:numFmt w:val="decimal"/>
      <w:lvlText w:val="%5."/>
      <w:lvlJc w:val="left"/>
      <w:pPr>
        <w:tabs>
          <w:tab w:val="num" w:pos="3600"/>
        </w:tabs>
        <w:ind w:left="3600" w:hanging="360"/>
      </w:pPr>
    </w:lvl>
    <w:lvl w:ilvl="5" w:tplc="69D0D8C4" w:tentative="1">
      <w:start w:val="1"/>
      <w:numFmt w:val="decimal"/>
      <w:lvlText w:val="%6."/>
      <w:lvlJc w:val="left"/>
      <w:pPr>
        <w:tabs>
          <w:tab w:val="num" w:pos="4320"/>
        </w:tabs>
        <w:ind w:left="4320" w:hanging="360"/>
      </w:pPr>
    </w:lvl>
    <w:lvl w:ilvl="6" w:tplc="8832681A" w:tentative="1">
      <w:start w:val="1"/>
      <w:numFmt w:val="decimal"/>
      <w:lvlText w:val="%7."/>
      <w:lvlJc w:val="left"/>
      <w:pPr>
        <w:tabs>
          <w:tab w:val="num" w:pos="5040"/>
        </w:tabs>
        <w:ind w:left="5040" w:hanging="360"/>
      </w:pPr>
    </w:lvl>
    <w:lvl w:ilvl="7" w:tplc="1D268A42" w:tentative="1">
      <w:start w:val="1"/>
      <w:numFmt w:val="decimal"/>
      <w:lvlText w:val="%8."/>
      <w:lvlJc w:val="left"/>
      <w:pPr>
        <w:tabs>
          <w:tab w:val="num" w:pos="5760"/>
        </w:tabs>
        <w:ind w:left="5760" w:hanging="360"/>
      </w:pPr>
    </w:lvl>
    <w:lvl w:ilvl="8" w:tplc="949C9592" w:tentative="1">
      <w:start w:val="1"/>
      <w:numFmt w:val="decimal"/>
      <w:lvlText w:val="%9."/>
      <w:lvlJc w:val="left"/>
      <w:pPr>
        <w:tabs>
          <w:tab w:val="num" w:pos="6480"/>
        </w:tabs>
        <w:ind w:left="6480" w:hanging="360"/>
      </w:pPr>
    </w:lvl>
  </w:abstractNum>
  <w:abstractNum w:abstractNumId="4" w15:restartNumberingAfterBreak="0">
    <w:nsid w:val="065E772D"/>
    <w:multiLevelType w:val="hybridMultilevel"/>
    <w:tmpl w:val="AB5E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82E00"/>
    <w:multiLevelType w:val="hybridMultilevel"/>
    <w:tmpl w:val="F264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24D58"/>
    <w:multiLevelType w:val="hybridMultilevel"/>
    <w:tmpl w:val="D818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C70D3"/>
    <w:multiLevelType w:val="hybridMultilevel"/>
    <w:tmpl w:val="1EE6E8C4"/>
    <w:lvl w:ilvl="0" w:tplc="65E46244">
      <w:start w:val="1"/>
      <w:numFmt w:val="lowerRoman"/>
      <w:lvlText w:val="%1."/>
      <w:lvlJc w:val="right"/>
      <w:pPr>
        <w:tabs>
          <w:tab w:val="num" w:pos="720"/>
        </w:tabs>
        <w:ind w:left="720" w:hanging="360"/>
      </w:pPr>
    </w:lvl>
    <w:lvl w:ilvl="1" w:tplc="68C252E6" w:tentative="1">
      <w:start w:val="1"/>
      <w:numFmt w:val="lowerRoman"/>
      <w:lvlText w:val="%2."/>
      <w:lvlJc w:val="right"/>
      <w:pPr>
        <w:tabs>
          <w:tab w:val="num" w:pos="1440"/>
        </w:tabs>
        <w:ind w:left="1440" w:hanging="360"/>
      </w:pPr>
    </w:lvl>
    <w:lvl w:ilvl="2" w:tplc="A9B05BF0" w:tentative="1">
      <w:start w:val="1"/>
      <w:numFmt w:val="lowerRoman"/>
      <w:lvlText w:val="%3."/>
      <w:lvlJc w:val="right"/>
      <w:pPr>
        <w:tabs>
          <w:tab w:val="num" w:pos="2160"/>
        </w:tabs>
        <w:ind w:left="2160" w:hanging="360"/>
      </w:pPr>
    </w:lvl>
    <w:lvl w:ilvl="3" w:tplc="6542FE92" w:tentative="1">
      <w:start w:val="1"/>
      <w:numFmt w:val="lowerRoman"/>
      <w:lvlText w:val="%4."/>
      <w:lvlJc w:val="right"/>
      <w:pPr>
        <w:tabs>
          <w:tab w:val="num" w:pos="2880"/>
        </w:tabs>
        <w:ind w:left="2880" w:hanging="360"/>
      </w:pPr>
    </w:lvl>
    <w:lvl w:ilvl="4" w:tplc="CD247888" w:tentative="1">
      <w:start w:val="1"/>
      <w:numFmt w:val="lowerRoman"/>
      <w:lvlText w:val="%5."/>
      <w:lvlJc w:val="right"/>
      <w:pPr>
        <w:tabs>
          <w:tab w:val="num" w:pos="3600"/>
        </w:tabs>
        <w:ind w:left="3600" w:hanging="360"/>
      </w:pPr>
    </w:lvl>
    <w:lvl w:ilvl="5" w:tplc="97F4E336" w:tentative="1">
      <w:start w:val="1"/>
      <w:numFmt w:val="lowerRoman"/>
      <w:lvlText w:val="%6."/>
      <w:lvlJc w:val="right"/>
      <w:pPr>
        <w:tabs>
          <w:tab w:val="num" w:pos="4320"/>
        </w:tabs>
        <w:ind w:left="4320" w:hanging="360"/>
      </w:pPr>
    </w:lvl>
    <w:lvl w:ilvl="6" w:tplc="0C5807F2" w:tentative="1">
      <w:start w:val="1"/>
      <w:numFmt w:val="lowerRoman"/>
      <w:lvlText w:val="%7."/>
      <w:lvlJc w:val="right"/>
      <w:pPr>
        <w:tabs>
          <w:tab w:val="num" w:pos="5040"/>
        </w:tabs>
        <w:ind w:left="5040" w:hanging="360"/>
      </w:pPr>
    </w:lvl>
    <w:lvl w:ilvl="7" w:tplc="2AAC8882" w:tentative="1">
      <w:start w:val="1"/>
      <w:numFmt w:val="lowerRoman"/>
      <w:lvlText w:val="%8."/>
      <w:lvlJc w:val="right"/>
      <w:pPr>
        <w:tabs>
          <w:tab w:val="num" w:pos="5760"/>
        </w:tabs>
        <w:ind w:left="5760" w:hanging="360"/>
      </w:pPr>
    </w:lvl>
    <w:lvl w:ilvl="8" w:tplc="54F83CB0" w:tentative="1">
      <w:start w:val="1"/>
      <w:numFmt w:val="lowerRoman"/>
      <w:lvlText w:val="%9."/>
      <w:lvlJc w:val="right"/>
      <w:pPr>
        <w:tabs>
          <w:tab w:val="num" w:pos="6480"/>
        </w:tabs>
        <w:ind w:left="6480" w:hanging="360"/>
      </w:pPr>
    </w:lvl>
  </w:abstractNum>
  <w:abstractNum w:abstractNumId="8" w15:restartNumberingAfterBreak="0">
    <w:nsid w:val="121A28EA"/>
    <w:multiLevelType w:val="hybridMultilevel"/>
    <w:tmpl w:val="86561896"/>
    <w:lvl w:ilvl="0" w:tplc="A622E77C">
      <w:start w:val="1"/>
      <w:numFmt w:val="decimal"/>
      <w:pStyle w:val="ListNumb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9C277C"/>
    <w:multiLevelType w:val="hybridMultilevel"/>
    <w:tmpl w:val="7506D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F46540"/>
    <w:multiLevelType w:val="hybridMultilevel"/>
    <w:tmpl w:val="4FAE31C2"/>
    <w:lvl w:ilvl="0" w:tplc="2696C72E">
      <w:start w:val="1"/>
      <w:numFmt w:val="lowerRoman"/>
      <w:lvlText w:val="%1."/>
      <w:lvlJc w:val="right"/>
      <w:pPr>
        <w:tabs>
          <w:tab w:val="num" w:pos="720"/>
        </w:tabs>
        <w:ind w:left="720" w:hanging="360"/>
      </w:pPr>
    </w:lvl>
    <w:lvl w:ilvl="1" w:tplc="CE620B54">
      <w:start w:val="1"/>
      <w:numFmt w:val="lowerLetter"/>
      <w:lvlText w:val="%2."/>
      <w:lvlJc w:val="right"/>
      <w:pPr>
        <w:tabs>
          <w:tab w:val="num" w:pos="1440"/>
        </w:tabs>
        <w:ind w:left="1440" w:hanging="360"/>
      </w:pPr>
    </w:lvl>
    <w:lvl w:ilvl="2" w:tplc="1848CECE" w:tentative="1">
      <w:start w:val="1"/>
      <w:numFmt w:val="lowerRoman"/>
      <w:lvlText w:val="%3."/>
      <w:lvlJc w:val="right"/>
      <w:pPr>
        <w:tabs>
          <w:tab w:val="num" w:pos="2160"/>
        </w:tabs>
        <w:ind w:left="2160" w:hanging="360"/>
      </w:pPr>
    </w:lvl>
    <w:lvl w:ilvl="3" w:tplc="4DCAA79E" w:tentative="1">
      <w:start w:val="1"/>
      <w:numFmt w:val="lowerRoman"/>
      <w:lvlText w:val="%4."/>
      <w:lvlJc w:val="right"/>
      <w:pPr>
        <w:tabs>
          <w:tab w:val="num" w:pos="2880"/>
        </w:tabs>
        <w:ind w:left="2880" w:hanging="360"/>
      </w:pPr>
    </w:lvl>
    <w:lvl w:ilvl="4" w:tplc="06DA36E4" w:tentative="1">
      <w:start w:val="1"/>
      <w:numFmt w:val="lowerRoman"/>
      <w:lvlText w:val="%5."/>
      <w:lvlJc w:val="right"/>
      <w:pPr>
        <w:tabs>
          <w:tab w:val="num" w:pos="3600"/>
        </w:tabs>
        <w:ind w:left="3600" w:hanging="360"/>
      </w:pPr>
    </w:lvl>
    <w:lvl w:ilvl="5" w:tplc="2FF8CC98" w:tentative="1">
      <w:start w:val="1"/>
      <w:numFmt w:val="lowerRoman"/>
      <w:lvlText w:val="%6."/>
      <w:lvlJc w:val="right"/>
      <w:pPr>
        <w:tabs>
          <w:tab w:val="num" w:pos="4320"/>
        </w:tabs>
        <w:ind w:left="4320" w:hanging="360"/>
      </w:pPr>
    </w:lvl>
    <w:lvl w:ilvl="6" w:tplc="71DC78E8" w:tentative="1">
      <w:start w:val="1"/>
      <w:numFmt w:val="lowerRoman"/>
      <w:lvlText w:val="%7."/>
      <w:lvlJc w:val="right"/>
      <w:pPr>
        <w:tabs>
          <w:tab w:val="num" w:pos="5040"/>
        </w:tabs>
        <w:ind w:left="5040" w:hanging="360"/>
      </w:pPr>
    </w:lvl>
    <w:lvl w:ilvl="7" w:tplc="D6B8D118" w:tentative="1">
      <w:start w:val="1"/>
      <w:numFmt w:val="lowerRoman"/>
      <w:lvlText w:val="%8."/>
      <w:lvlJc w:val="right"/>
      <w:pPr>
        <w:tabs>
          <w:tab w:val="num" w:pos="5760"/>
        </w:tabs>
        <w:ind w:left="5760" w:hanging="360"/>
      </w:pPr>
    </w:lvl>
    <w:lvl w:ilvl="8" w:tplc="450C2EAA" w:tentative="1">
      <w:start w:val="1"/>
      <w:numFmt w:val="lowerRoman"/>
      <w:lvlText w:val="%9."/>
      <w:lvlJc w:val="right"/>
      <w:pPr>
        <w:tabs>
          <w:tab w:val="num" w:pos="6480"/>
        </w:tabs>
        <w:ind w:left="6480" w:hanging="360"/>
      </w:pPr>
    </w:lvl>
  </w:abstractNum>
  <w:abstractNum w:abstractNumId="11" w15:restartNumberingAfterBreak="0">
    <w:nsid w:val="1BC04277"/>
    <w:multiLevelType w:val="hybridMultilevel"/>
    <w:tmpl w:val="45BE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366BB"/>
    <w:multiLevelType w:val="hybridMultilevel"/>
    <w:tmpl w:val="9B0C8502"/>
    <w:lvl w:ilvl="0" w:tplc="FFFFFFFF">
      <w:start w:val="1"/>
      <w:numFmt w:val="lowerRoman"/>
      <w:lvlText w:val="%1."/>
      <w:lvlJc w:val="right"/>
      <w:pPr>
        <w:tabs>
          <w:tab w:val="num" w:pos="1440"/>
        </w:tabs>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A06C01"/>
    <w:multiLevelType w:val="hybridMultilevel"/>
    <w:tmpl w:val="08C84A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AD5566"/>
    <w:multiLevelType w:val="hybridMultilevel"/>
    <w:tmpl w:val="FCDC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7C3FD2"/>
    <w:multiLevelType w:val="hybridMultilevel"/>
    <w:tmpl w:val="447004BA"/>
    <w:lvl w:ilvl="0" w:tplc="CFCC7B6E">
      <w:start w:val="5"/>
      <w:numFmt w:val="decimal"/>
      <w:lvlText w:val="%1."/>
      <w:lvlJc w:val="left"/>
      <w:pPr>
        <w:tabs>
          <w:tab w:val="num" w:pos="720"/>
        </w:tabs>
        <w:ind w:left="720" w:hanging="360"/>
      </w:pPr>
    </w:lvl>
    <w:lvl w:ilvl="1" w:tplc="BCB28D38" w:tentative="1">
      <w:start w:val="1"/>
      <w:numFmt w:val="decimal"/>
      <w:lvlText w:val="%2."/>
      <w:lvlJc w:val="left"/>
      <w:pPr>
        <w:tabs>
          <w:tab w:val="num" w:pos="1440"/>
        </w:tabs>
        <w:ind w:left="1440" w:hanging="360"/>
      </w:pPr>
    </w:lvl>
    <w:lvl w:ilvl="2" w:tplc="06624824" w:tentative="1">
      <w:start w:val="1"/>
      <w:numFmt w:val="decimal"/>
      <w:lvlText w:val="%3."/>
      <w:lvlJc w:val="left"/>
      <w:pPr>
        <w:tabs>
          <w:tab w:val="num" w:pos="2160"/>
        </w:tabs>
        <w:ind w:left="2160" w:hanging="360"/>
      </w:pPr>
    </w:lvl>
    <w:lvl w:ilvl="3" w:tplc="152C79A8" w:tentative="1">
      <w:start w:val="1"/>
      <w:numFmt w:val="decimal"/>
      <w:lvlText w:val="%4."/>
      <w:lvlJc w:val="left"/>
      <w:pPr>
        <w:tabs>
          <w:tab w:val="num" w:pos="2880"/>
        </w:tabs>
        <w:ind w:left="2880" w:hanging="360"/>
      </w:pPr>
    </w:lvl>
    <w:lvl w:ilvl="4" w:tplc="A64E9114" w:tentative="1">
      <w:start w:val="1"/>
      <w:numFmt w:val="decimal"/>
      <w:lvlText w:val="%5."/>
      <w:lvlJc w:val="left"/>
      <w:pPr>
        <w:tabs>
          <w:tab w:val="num" w:pos="3600"/>
        </w:tabs>
        <w:ind w:left="3600" w:hanging="360"/>
      </w:pPr>
    </w:lvl>
    <w:lvl w:ilvl="5" w:tplc="2CC26802" w:tentative="1">
      <w:start w:val="1"/>
      <w:numFmt w:val="decimal"/>
      <w:lvlText w:val="%6."/>
      <w:lvlJc w:val="left"/>
      <w:pPr>
        <w:tabs>
          <w:tab w:val="num" w:pos="4320"/>
        </w:tabs>
        <w:ind w:left="4320" w:hanging="360"/>
      </w:pPr>
    </w:lvl>
    <w:lvl w:ilvl="6" w:tplc="B5562376" w:tentative="1">
      <w:start w:val="1"/>
      <w:numFmt w:val="decimal"/>
      <w:lvlText w:val="%7."/>
      <w:lvlJc w:val="left"/>
      <w:pPr>
        <w:tabs>
          <w:tab w:val="num" w:pos="5040"/>
        </w:tabs>
        <w:ind w:left="5040" w:hanging="360"/>
      </w:pPr>
    </w:lvl>
    <w:lvl w:ilvl="7" w:tplc="D37E3D58" w:tentative="1">
      <w:start w:val="1"/>
      <w:numFmt w:val="decimal"/>
      <w:lvlText w:val="%8."/>
      <w:lvlJc w:val="left"/>
      <w:pPr>
        <w:tabs>
          <w:tab w:val="num" w:pos="5760"/>
        </w:tabs>
        <w:ind w:left="5760" w:hanging="360"/>
      </w:pPr>
    </w:lvl>
    <w:lvl w:ilvl="8" w:tplc="E4ECAC72" w:tentative="1">
      <w:start w:val="1"/>
      <w:numFmt w:val="decimal"/>
      <w:lvlText w:val="%9."/>
      <w:lvlJc w:val="left"/>
      <w:pPr>
        <w:tabs>
          <w:tab w:val="num" w:pos="6480"/>
        </w:tabs>
        <w:ind w:left="6480" w:hanging="360"/>
      </w:pPr>
    </w:lvl>
  </w:abstractNum>
  <w:abstractNum w:abstractNumId="16" w15:restartNumberingAfterBreak="0">
    <w:nsid w:val="23A12322"/>
    <w:multiLevelType w:val="hybridMultilevel"/>
    <w:tmpl w:val="21E600B8"/>
    <w:lvl w:ilvl="0" w:tplc="E0580AE4">
      <w:start w:val="1"/>
      <w:numFmt w:val="lowerRoman"/>
      <w:lvlText w:val="%1."/>
      <w:lvlJc w:val="right"/>
      <w:pPr>
        <w:tabs>
          <w:tab w:val="num" w:pos="720"/>
        </w:tabs>
        <w:ind w:left="720" w:hanging="360"/>
      </w:pPr>
    </w:lvl>
    <w:lvl w:ilvl="1" w:tplc="12F20ED6">
      <w:start w:val="1"/>
      <w:numFmt w:val="lowerLetter"/>
      <w:lvlText w:val="%2."/>
      <w:lvlJc w:val="right"/>
      <w:pPr>
        <w:tabs>
          <w:tab w:val="num" w:pos="1440"/>
        </w:tabs>
        <w:ind w:left="1440" w:hanging="360"/>
      </w:pPr>
    </w:lvl>
    <w:lvl w:ilvl="2" w:tplc="7714DD0A" w:tentative="1">
      <w:start w:val="1"/>
      <w:numFmt w:val="lowerRoman"/>
      <w:lvlText w:val="%3."/>
      <w:lvlJc w:val="right"/>
      <w:pPr>
        <w:tabs>
          <w:tab w:val="num" w:pos="2160"/>
        </w:tabs>
        <w:ind w:left="2160" w:hanging="360"/>
      </w:pPr>
    </w:lvl>
    <w:lvl w:ilvl="3" w:tplc="5B0C3CE8" w:tentative="1">
      <w:start w:val="1"/>
      <w:numFmt w:val="lowerRoman"/>
      <w:lvlText w:val="%4."/>
      <w:lvlJc w:val="right"/>
      <w:pPr>
        <w:tabs>
          <w:tab w:val="num" w:pos="2880"/>
        </w:tabs>
        <w:ind w:left="2880" w:hanging="360"/>
      </w:pPr>
    </w:lvl>
    <w:lvl w:ilvl="4" w:tplc="1506FD3E" w:tentative="1">
      <w:start w:val="1"/>
      <w:numFmt w:val="lowerRoman"/>
      <w:lvlText w:val="%5."/>
      <w:lvlJc w:val="right"/>
      <w:pPr>
        <w:tabs>
          <w:tab w:val="num" w:pos="3600"/>
        </w:tabs>
        <w:ind w:left="3600" w:hanging="360"/>
      </w:pPr>
    </w:lvl>
    <w:lvl w:ilvl="5" w:tplc="C428AA0A" w:tentative="1">
      <w:start w:val="1"/>
      <w:numFmt w:val="lowerRoman"/>
      <w:lvlText w:val="%6."/>
      <w:lvlJc w:val="right"/>
      <w:pPr>
        <w:tabs>
          <w:tab w:val="num" w:pos="4320"/>
        </w:tabs>
        <w:ind w:left="4320" w:hanging="360"/>
      </w:pPr>
    </w:lvl>
    <w:lvl w:ilvl="6" w:tplc="BF54A058" w:tentative="1">
      <w:start w:val="1"/>
      <w:numFmt w:val="lowerRoman"/>
      <w:lvlText w:val="%7."/>
      <w:lvlJc w:val="right"/>
      <w:pPr>
        <w:tabs>
          <w:tab w:val="num" w:pos="5040"/>
        </w:tabs>
        <w:ind w:left="5040" w:hanging="360"/>
      </w:pPr>
    </w:lvl>
    <w:lvl w:ilvl="7" w:tplc="E0A8317E" w:tentative="1">
      <w:start w:val="1"/>
      <w:numFmt w:val="lowerRoman"/>
      <w:lvlText w:val="%8."/>
      <w:lvlJc w:val="right"/>
      <w:pPr>
        <w:tabs>
          <w:tab w:val="num" w:pos="5760"/>
        </w:tabs>
        <w:ind w:left="5760" w:hanging="360"/>
      </w:pPr>
    </w:lvl>
    <w:lvl w:ilvl="8" w:tplc="387655BE" w:tentative="1">
      <w:start w:val="1"/>
      <w:numFmt w:val="lowerRoman"/>
      <w:lvlText w:val="%9."/>
      <w:lvlJc w:val="right"/>
      <w:pPr>
        <w:tabs>
          <w:tab w:val="num" w:pos="6480"/>
        </w:tabs>
        <w:ind w:left="6480" w:hanging="360"/>
      </w:pPr>
    </w:lvl>
  </w:abstractNum>
  <w:abstractNum w:abstractNumId="17" w15:restartNumberingAfterBreak="0">
    <w:nsid w:val="26F708FE"/>
    <w:multiLevelType w:val="hybridMultilevel"/>
    <w:tmpl w:val="3BC68A86"/>
    <w:lvl w:ilvl="0" w:tplc="3EFA71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10617"/>
    <w:multiLevelType w:val="hybridMultilevel"/>
    <w:tmpl w:val="878C9C26"/>
    <w:lvl w:ilvl="0" w:tplc="065EBA32">
      <w:start w:val="1"/>
      <w:numFmt w:val="lowerRoman"/>
      <w:lvlText w:val="%1."/>
      <w:lvlJc w:val="right"/>
      <w:pPr>
        <w:tabs>
          <w:tab w:val="num" w:pos="720"/>
        </w:tabs>
        <w:ind w:left="720" w:hanging="360"/>
      </w:pPr>
    </w:lvl>
    <w:lvl w:ilvl="1" w:tplc="B8B8DBBE" w:tentative="1">
      <w:start w:val="1"/>
      <w:numFmt w:val="lowerRoman"/>
      <w:lvlText w:val="%2."/>
      <w:lvlJc w:val="right"/>
      <w:pPr>
        <w:tabs>
          <w:tab w:val="num" w:pos="1440"/>
        </w:tabs>
        <w:ind w:left="1440" w:hanging="360"/>
      </w:pPr>
    </w:lvl>
    <w:lvl w:ilvl="2" w:tplc="9828C2B0" w:tentative="1">
      <w:start w:val="1"/>
      <w:numFmt w:val="lowerRoman"/>
      <w:lvlText w:val="%3."/>
      <w:lvlJc w:val="right"/>
      <w:pPr>
        <w:tabs>
          <w:tab w:val="num" w:pos="2160"/>
        </w:tabs>
        <w:ind w:left="2160" w:hanging="360"/>
      </w:pPr>
    </w:lvl>
    <w:lvl w:ilvl="3" w:tplc="4DF87672" w:tentative="1">
      <w:start w:val="1"/>
      <w:numFmt w:val="lowerRoman"/>
      <w:lvlText w:val="%4."/>
      <w:lvlJc w:val="right"/>
      <w:pPr>
        <w:tabs>
          <w:tab w:val="num" w:pos="2880"/>
        </w:tabs>
        <w:ind w:left="2880" w:hanging="360"/>
      </w:pPr>
    </w:lvl>
    <w:lvl w:ilvl="4" w:tplc="58B0E830" w:tentative="1">
      <w:start w:val="1"/>
      <w:numFmt w:val="lowerRoman"/>
      <w:lvlText w:val="%5."/>
      <w:lvlJc w:val="right"/>
      <w:pPr>
        <w:tabs>
          <w:tab w:val="num" w:pos="3600"/>
        </w:tabs>
        <w:ind w:left="3600" w:hanging="360"/>
      </w:pPr>
    </w:lvl>
    <w:lvl w:ilvl="5" w:tplc="1AF45A3A" w:tentative="1">
      <w:start w:val="1"/>
      <w:numFmt w:val="lowerRoman"/>
      <w:lvlText w:val="%6."/>
      <w:lvlJc w:val="right"/>
      <w:pPr>
        <w:tabs>
          <w:tab w:val="num" w:pos="4320"/>
        </w:tabs>
        <w:ind w:left="4320" w:hanging="360"/>
      </w:pPr>
    </w:lvl>
    <w:lvl w:ilvl="6" w:tplc="FB048852" w:tentative="1">
      <w:start w:val="1"/>
      <w:numFmt w:val="lowerRoman"/>
      <w:lvlText w:val="%7."/>
      <w:lvlJc w:val="right"/>
      <w:pPr>
        <w:tabs>
          <w:tab w:val="num" w:pos="5040"/>
        </w:tabs>
        <w:ind w:left="5040" w:hanging="360"/>
      </w:pPr>
    </w:lvl>
    <w:lvl w:ilvl="7" w:tplc="233890E4" w:tentative="1">
      <w:start w:val="1"/>
      <w:numFmt w:val="lowerRoman"/>
      <w:lvlText w:val="%8."/>
      <w:lvlJc w:val="right"/>
      <w:pPr>
        <w:tabs>
          <w:tab w:val="num" w:pos="5760"/>
        </w:tabs>
        <w:ind w:left="5760" w:hanging="360"/>
      </w:pPr>
    </w:lvl>
    <w:lvl w:ilvl="8" w:tplc="0F1286C2" w:tentative="1">
      <w:start w:val="1"/>
      <w:numFmt w:val="lowerRoman"/>
      <w:lvlText w:val="%9."/>
      <w:lvlJc w:val="right"/>
      <w:pPr>
        <w:tabs>
          <w:tab w:val="num" w:pos="6480"/>
        </w:tabs>
        <w:ind w:left="6480" w:hanging="360"/>
      </w:pPr>
    </w:lvl>
  </w:abstractNum>
  <w:abstractNum w:abstractNumId="19" w15:restartNumberingAfterBreak="0">
    <w:nsid w:val="2C60238B"/>
    <w:multiLevelType w:val="hybridMultilevel"/>
    <w:tmpl w:val="8EB8A2A4"/>
    <w:lvl w:ilvl="0" w:tplc="3EFA71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EC0BF7"/>
    <w:multiLevelType w:val="hybridMultilevel"/>
    <w:tmpl w:val="54F6C648"/>
    <w:lvl w:ilvl="0" w:tplc="42900B90">
      <w:start w:val="1"/>
      <w:numFmt w:val="lowerRoman"/>
      <w:lvlText w:val="%1."/>
      <w:lvlJc w:val="right"/>
      <w:pPr>
        <w:tabs>
          <w:tab w:val="num" w:pos="720"/>
        </w:tabs>
        <w:ind w:left="720" w:hanging="360"/>
      </w:pPr>
    </w:lvl>
    <w:lvl w:ilvl="1" w:tplc="E02EF480">
      <w:start w:val="1"/>
      <w:numFmt w:val="lowerLetter"/>
      <w:lvlText w:val="%2."/>
      <w:lvlJc w:val="right"/>
      <w:pPr>
        <w:tabs>
          <w:tab w:val="num" w:pos="1440"/>
        </w:tabs>
        <w:ind w:left="1440" w:hanging="360"/>
      </w:pPr>
    </w:lvl>
    <w:lvl w:ilvl="2" w:tplc="816EC234" w:tentative="1">
      <w:start w:val="1"/>
      <w:numFmt w:val="lowerRoman"/>
      <w:lvlText w:val="%3."/>
      <w:lvlJc w:val="right"/>
      <w:pPr>
        <w:tabs>
          <w:tab w:val="num" w:pos="2160"/>
        </w:tabs>
        <w:ind w:left="2160" w:hanging="360"/>
      </w:pPr>
    </w:lvl>
    <w:lvl w:ilvl="3" w:tplc="D882A76E" w:tentative="1">
      <w:start w:val="1"/>
      <w:numFmt w:val="lowerRoman"/>
      <w:lvlText w:val="%4."/>
      <w:lvlJc w:val="right"/>
      <w:pPr>
        <w:tabs>
          <w:tab w:val="num" w:pos="2880"/>
        </w:tabs>
        <w:ind w:left="2880" w:hanging="360"/>
      </w:pPr>
    </w:lvl>
    <w:lvl w:ilvl="4" w:tplc="959C1B8E" w:tentative="1">
      <w:start w:val="1"/>
      <w:numFmt w:val="lowerRoman"/>
      <w:lvlText w:val="%5."/>
      <w:lvlJc w:val="right"/>
      <w:pPr>
        <w:tabs>
          <w:tab w:val="num" w:pos="3600"/>
        </w:tabs>
        <w:ind w:left="3600" w:hanging="360"/>
      </w:pPr>
    </w:lvl>
    <w:lvl w:ilvl="5" w:tplc="689EF42C" w:tentative="1">
      <w:start w:val="1"/>
      <w:numFmt w:val="lowerRoman"/>
      <w:lvlText w:val="%6."/>
      <w:lvlJc w:val="right"/>
      <w:pPr>
        <w:tabs>
          <w:tab w:val="num" w:pos="4320"/>
        </w:tabs>
        <w:ind w:left="4320" w:hanging="360"/>
      </w:pPr>
    </w:lvl>
    <w:lvl w:ilvl="6" w:tplc="C23AE59E" w:tentative="1">
      <w:start w:val="1"/>
      <w:numFmt w:val="lowerRoman"/>
      <w:lvlText w:val="%7."/>
      <w:lvlJc w:val="right"/>
      <w:pPr>
        <w:tabs>
          <w:tab w:val="num" w:pos="5040"/>
        </w:tabs>
        <w:ind w:left="5040" w:hanging="360"/>
      </w:pPr>
    </w:lvl>
    <w:lvl w:ilvl="7" w:tplc="91108360" w:tentative="1">
      <w:start w:val="1"/>
      <w:numFmt w:val="lowerRoman"/>
      <w:lvlText w:val="%8."/>
      <w:lvlJc w:val="right"/>
      <w:pPr>
        <w:tabs>
          <w:tab w:val="num" w:pos="5760"/>
        </w:tabs>
        <w:ind w:left="5760" w:hanging="360"/>
      </w:pPr>
    </w:lvl>
    <w:lvl w:ilvl="8" w:tplc="9BA21DE4" w:tentative="1">
      <w:start w:val="1"/>
      <w:numFmt w:val="lowerRoman"/>
      <w:lvlText w:val="%9."/>
      <w:lvlJc w:val="right"/>
      <w:pPr>
        <w:tabs>
          <w:tab w:val="num" w:pos="6480"/>
        </w:tabs>
        <w:ind w:left="6480" w:hanging="360"/>
      </w:pPr>
    </w:lvl>
  </w:abstractNum>
  <w:abstractNum w:abstractNumId="21" w15:restartNumberingAfterBreak="0">
    <w:nsid w:val="2ED012C3"/>
    <w:multiLevelType w:val="hybridMultilevel"/>
    <w:tmpl w:val="D8CCCB92"/>
    <w:lvl w:ilvl="0" w:tplc="2356FC3A">
      <w:start w:val="1"/>
      <w:numFmt w:val="decimal"/>
      <w:lvlText w:val="%1."/>
      <w:lvlJc w:val="left"/>
      <w:pPr>
        <w:tabs>
          <w:tab w:val="num" w:pos="720"/>
        </w:tabs>
        <w:ind w:left="720" w:hanging="360"/>
      </w:pPr>
    </w:lvl>
    <w:lvl w:ilvl="1" w:tplc="EB4C4E9E">
      <w:start w:val="1"/>
      <w:numFmt w:val="lowerLetter"/>
      <w:lvlText w:val="%2."/>
      <w:lvlJc w:val="left"/>
      <w:pPr>
        <w:tabs>
          <w:tab w:val="num" w:pos="1440"/>
        </w:tabs>
        <w:ind w:left="1440" w:hanging="360"/>
      </w:pPr>
    </w:lvl>
    <w:lvl w:ilvl="2" w:tplc="8842AC08" w:tentative="1">
      <w:start w:val="1"/>
      <w:numFmt w:val="decimal"/>
      <w:lvlText w:val="%3."/>
      <w:lvlJc w:val="left"/>
      <w:pPr>
        <w:tabs>
          <w:tab w:val="num" w:pos="2160"/>
        </w:tabs>
        <w:ind w:left="2160" w:hanging="360"/>
      </w:pPr>
    </w:lvl>
    <w:lvl w:ilvl="3" w:tplc="3E0499E2" w:tentative="1">
      <w:start w:val="1"/>
      <w:numFmt w:val="decimal"/>
      <w:lvlText w:val="%4."/>
      <w:lvlJc w:val="left"/>
      <w:pPr>
        <w:tabs>
          <w:tab w:val="num" w:pos="2880"/>
        </w:tabs>
        <w:ind w:left="2880" w:hanging="360"/>
      </w:pPr>
    </w:lvl>
    <w:lvl w:ilvl="4" w:tplc="E76CB2C4" w:tentative="1">
      <w:start w:val="1"/>
      <w:numFmt w:val="decimal"/>
      <w:lvlText w:val="%5."/>
      <w:lvlJc w:val="left"/>
      <w:pPr>
        <w:tabs>
          <w:tab w:val="num" w:pos="3600"/>
        </w:tabs>
        <w:ind w:left="3600" w:hanging="360"/>
      </w:pPr>
    </w:lvl>
    <w:lvl w:ilvl="5" w:tplc="A4B6549E" w:tentative="1">
      <w:start w:val="1"/>
      <w:numFmt w:val="decimal"/>
      <w:lvlText w:val="%6."/>
      <w:lvlJc w:val="left"/>
      <w:pPr>
        <w:tabs>
          <w:tab w:val="num" w:pos="4320"/>
        </w:tabs>
        <w:ind w:left="4320" w:hanging="360"/>
      </w:pPr>
    </w:lvl>
    <w:lvl w:ilvl="6" w:tplc="C0180DDA" w:tentative="1">
      <w:start w:val="1"/>
      <w:numFmt w:val="decimal"/>
      <w:lvlText w:val="%7."/>
      <w:lvlJc w:val="left"/>
      <w:pPr>
        <w:tabs>
          <w:tab w:val="num" w:pos="5040"/>
        </w:tabs>
        <w:ind w:left="5040" w:hanging="360"/>
      </w:pPr>
    </w:lvl>
    <w:lvl w:ilvl="7" w:tplc="AB0A423C" w:tentative="1">
      <w:start w:val="1"/>
      <w:numFmt w:val="decimal"/>
      <w:lvlText w:val="%8."/>
      <w:lvlJc w:val="left"/>
      <w:pPr>
        <w:tabs>
          <w:tab w:val="num" w:pos="5760"/>
        </w:tabs>
        <w:ind w:left="5760" w:hanging="360"/>
      </w:pPr>
    </w:lvl>
    <w:lvl w:ilvl="8" w:tplc="481A97C6" w:tentative="1">
      <w:start w:val="1"/>
      <w:numFmt w:val="decimal"/>
      <w:lvlText w:val="%9."/>
      <w:lvlJc w:val="left"/>
      <w:pPr>
        <w:tabs>
          <w:tab w:val="num" w:pos="6480"/>
        </w:tabs>
        <w:ind w:left="6480" w:hanging="360"/>
      </w:pPr>
    </w:lvl>
  </w:abstractNum>
  <w:abstractNum w:abstractNumId="22" w15:restartNumberingAfterBreak="0">
    <w:nsid w:val="325B7923"/>
    <w:multiLevelType w:val="hybridMultilevel"/>
    <w:tmpl w:val="30AE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47555"/>
    <w:multiLevelType w:val="hybridMultilevel"/>
    <w:tmpl w:val="03C02A2C"/>
    <w:lvl w:ilvl="0" w:tplc="62F6DF84">
      <w:start w:val="5"/>
      <w:numFmt w:val="decimal"/>
      <w:lvlText w:val="%1."/>
      <w:lvlJc w:val="left"/>
      <w:pPr>
        <w:tabs>
          <w:tab w:val="num" w:pos="720"/>
        </w:tabs>
        <w:ind w:left="720" w:hanging="360"/>
      </w:pPr>
    </w:lvl>
    <w:lvl w:ilvl="1" w:tplc="8E7A674E" w:tentative="1">
      <w:start w:val="1"/>
      <w:numFmt w:val="decimal"/>
      <w:lvlText w:val="%2."/>
      <w:lvlJc w:val="left"/>
      <w:pPr>
        <w:tabs>
          <w:tab w:val="num" w:pos="1440"/>
        </w:tabs>
        <w:ind w:left="1440" w:hanging="360"/>
      </w:pPr>
    </w:lvl>
    <w:lvl w:ilvl="2" w:tplc="B3BCCE72" w:tentative="1">
      <w:start w:val="1"/>
      <w:numFmt w:val="decimal"/>
      <w:lvlText w:val="%3."/>
      <w:lvlJc w:val="left"/>
      <w:pPr>
        <w:tabs>
          <w:tab w:val="num" w:pos="2160"/>
        </w:tabs>
        <w:ind w:left="2160" w:hanging="360"/>
      </w:pPr>
    </w:lvl>
    <w:lvl w:ilvl="3" w:tplc="93F21BB8" w:tentative="1">
      <w:start w:val="1"/>
      <w:numFmt w:val="decimal"/>
      <w:lvlText w:val="%4."/>
      <w:lvlJc w:val="left"/>
      <w:pPr>
        <w:tabs>
          <w:tab w:val="num" w:pos="2880"/>
        </w:tabs>
        <w:ind w:left="2880" w:hanging="360"/>
      </w:pPr>
    </w:lvl>
    <w:lvl w:ilvl="4" w:tplc="E5B858A4" w:tentative="1">
      <w:start w:val="1"/>
      <w:numFmt w:val="decimal"/>
      <w:lvlText w:val="%5."/>
      <w:lvlJc w:val="left"/>
      <w:pPr>
        <w:tabs>
          <w:tab w:val="num" w:pos="3600"/>
        </w:tabs>
        <w:ind w:left="3600" w:hanging="360"/>
      </w:pPr>
    </w:lvl>
    <w:lvl w:ilvl="5" w:tplc="2744CE4E" w:tentative="1">
      <w:start w:val="1"/>
      <w:numFmt w:val="decimal"/>
      <w:lvlText w:val="%6."/>
      <w:lvlJc w:val="left"/>
      <w:pPr>
        <w:tabs>
          <w:tab w:val="num" w:pos="4320"/>
        </w:tabs>
        <w:ind w:left="4320" w:hanging="360"/>
      </w:pPr>
    </w:lvl>
    <w:lvl w:ilvl="6" w:tplc="00504E42" w:tentative="1">
      <w:start w:val="1"/>
      <w:numFmt w:val="decimal"/>
      <w:lvlText w:val="%7."/>
      <w:lvlJc w:val="left"/>
      <w:pPr>
        <w:tabs>
          <w:tab w:val="num" w:pos="5040"/>
        </w:tabs>
        <w:ind w:left="5040" w:hanging="360"/>
      </w:pPr>
    </w:lvl>
    <w:lvl w:ilvl="7" w:tplc="C116F85E" w:tentative="1">
      <w:start w:val="1"/>
      <w:numFmt w:val="decimal"/>
      <w:lvlText w:val="%8."/>
      <w:lvlJc w:val="left"/>
      <w:pPr>
        <w:tabs>
          <w:tab w:val="num" w:pos="5760"/>
        </w:tabs>
        <w:ind w:left="5760" w:hanging="360"/>
      </w:pPr>
    </w:lvl>
    <w:lvl w:ilvl="8" w:tplc="B5F8A3B0" w:tentative="1">
      <w:start w:val="1"/>
      <w:numFmt w:val="decimal"/>
      <w:lvlText w:val="%9."/>
      <w:lvlJc w:val="left"/>
      <w:pPr>
        <w:tabs>
          <w:tab w:val="num" w:pos="6480"/>
        </w:tabs>
        <w:ind w:left="6480" w:hanging="360"/>
      </w:pPr>
    </w:lvl>
  </w:abstractNum>
  <w:abstractNum w:abstractNumId="24" w15:restartNumberingAfterBreak="0">
    <w:nsid w:val="37A45A42"/>
    <w:multiLevelType w:val="hybridMultilevel"/>
    <w:tmpl w:val="0C9E6C82"/>
    <w:lvl w:ilvl="0" w:tplc="04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4F7E00"/>
    <w:multiLevelType w:val="hybridMultilevel"/>
    <w:tmpl w:val="74BE3578"/>
    <w:lvl w:ilvl="0" w:tplc="96002C36">
      <w:start w:val="1"/>
      <w:numFmt w:val="bullet"/>
      <w:pStyle w:val="ListBullet"/>
      <w:lvlText w:val=""/>
      <w:lvlJc w:val="left"/>
      <w:pPr>
        <w:ind w:left="720" w:hanging="360"/>
      </w:pPr>
      <w:rPr>
        <w:rFonts w:ascii="Symbol" w:hAnsi="Symbol" w:hint="default"/>
      </w:rPr>
    </w:lvl>
    <w:lvl w:ilvl="1" w:tplc="9F5E4B00">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C773EE"/>
    <w:multiLevelType w:val="hybridMultilevel"/>
    <w:tmpl w:val="2F729548"/>
    <w:lvl w:ilvl="0" w:tplc="81204470">
      <w:start w:val="1"/>
      <w:numFmt w:val="upperLetter"/>
      <w:lvlText w:val="(%1)"/>
      <w:lvlJc w:val="left"/>
      <w:pPr>
        <w:ind w:left="720" w:hanging="360"/>
      </w:pPr>
      <w:rPr>
        <w:rFonts w:hint="default"/>
      </w:rPr>
    </w:lvl>
    <w:lvl w:ilvl="1" w:tplc="69DC965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904C45"/>
    <w:multiLevelType w:val="hybridMultilevel"/>
    <w:tmpl w:val="67742894"/>
    <w:lvl w:ilvl="0" w:tplc="FB5ED036">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66A72"/>
    <w:multiLevelType w:val="hybridMultilevel"/>
    <w:tmpl w:val="84BA3FBE"/>
    <w:lvl w:ilvl="0" w:tplc="81204470">
      <w:start w:val="1"/>
      <w:numFmt w:val="upperLetter"/>
      <w:lvlText w:val="(%1)"/>
      <w:lvlJc w:val="left"/>
      <w:pPr>
        <w:ind w:left="756" w:hanging="396"/>
      </w:pPr>
      <w:rPr>
        <w:rFonts w:hint="default"/>
      </w:rPr>
    </w:lvl>
    <w:lvl w:ilvl="1" w:tplc="EC1202A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1E406C"/>
    <w:multiLevelType w:val="hybridMultilevel"/>
    <w:tmpl w:val="09FEC326"/>
    <w:lvl w:ilvl="0" w:tplc="1C3470C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D1C5E"/>
    <w:multiLevelType w:val="hybridMultilevel"/>
    <w:tmpl w:val="9670D04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355A1E"/>
    <w:multiLevelType w:val="multilevel"/>
    <w:tmpl w:val="25A0AFF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37F67B6"/>
    <w:multiLevelType w:val="hybridMultilevel"/>
    <w:tmpl w:val="EBF6BB74"/>
    <w:lvl w:ilvl="0" w:tplc="3EFA71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E53F7"/>
    <w:multiLevelType w:val="hybridMultilevel"/>
    <w:tmpl w:val="08EC96F8"/>
    <w:lvl w:ilvl="0" w:tplc="1C126832">
      <w:start w:val="1"/>
      <w:numFmt w:val="lowerRoman"/>
      <w:lvlText w:val="%1."/>
      <w:lvlJc w:val="right"/>
      <w:pPr>
        <w:tabs>
          <w:tab w:val="num" w:pos="720"/>
        </w:tabs>
        <w:ind w:left="720" w:hanging="360"/>
      </w:pPr>
    </w:lvl>
    <w:lvl w:ilvl="1" w:tplc="B3E841EA">
      <w:start w:val="1"/>
      <w:numFmt w:val="lowerRoman"/>
      <w:lvlText w:val="%2."/>
      <w:lvlJc w:val="right"/>
      <w:pPr>
        <w:tabs>
          <w:tab w:val="num" w:pos="1440"/>
        </w:tabs>
        <w:ind w:left="1440" w:hanging="360"/>
      </w:pPr>
    </w:lvl>
    <w:lvl w:ilvl="2" w:tplc="43D0DE24" w:tentative="1">
      <w:start w:val="1"/>
      <w:numFmt w:val="lowerRoman"/>
      <w:lvlText w:val="%3."/>
      <w:lvlJc w:val="right"/>
      <w:pPr>
        <w:tabs>
          <w:tab w:val="num" w:pos="2160"/>
        </w:tabs>
        <w:ind w:left="2160" w:hanging="360"/>
      </w:pPr>
    </w:lvl>
    <w:lvl w:ilvl="3" w:tplc="C3C04BC2" w:tentative="1">
      <w:start w:val="1"/>
      <w:numFmt w:val="lowerRoman"/>
      <w:lvlText w:val="%4."/>
      <w:lvlJc w:val="right"/>
      <w:pPr>
        <w:tabs>
          <w:tab w:val="num" w:pos="2880"/>
        </w:tabs>
        <w:ind w:left="2880" w:hanging="360"/>
      </w:pPr>
    </w:lvl>
    <w:lvl w:ilvl="4" w:tplc="AAC6091C" w:tentative="1">
      <w:start w:val="1"/>
      <w:numFmt w:val="lowerRoman"/>
      <w:lvlText w:val="%5."/>
      <w:lvlJc w:val="right"/>
      <w:pPr>
        <w:tabs>
          <w:tab w:val="num" w:pos="3600"/>
        </w:tabs>
        <w:ind w:left="3600" w:hanging="360"/>
      </w:pPr>
    </w:lvl>
    <w:lvl w:ilvl="5" w:tplc="C884E528" w:tentative="1">
      <w:start w:val="1"/>
      <w:numFmt w:val="lowerRoman"/>
      <w:lvlText w:val="%6."/>
      <w:lvlJc w:val="right"/>
      <w:pPr>
        <w:tabs>
          <w:tab w:val="num" w:pos="4320"/>
        </w:tabs>
        <w:ind w:left="4320" w:hanging="360"/>
      </w:pPr>
    </w:lvl>
    <w:lvl w:ilvl="6" w:tplc="B4140B36" w:tentative="1">
      <w:start w:val="1"/>
      <w:numFmt w:val="lowerRoman"/>
      <w:lvlText w:val="%7."/>
      <w:lvlJc w:val="right"/>
      <w:pPr>
        <w:tabs>
          <w:tab w:val="num" w:pos="5040"/>
        </w:tabs>
        <w:ind w:left="5040" w:hanging="360"/>
      </w:pPr>
    </w:lvl>
    <w:lvl w:ilvl="7" w:tplc="6FE4E352" w:tentative="1">
      <w:start w:val="1"/>
      <w:numFmt w:val="lowerRoman"/>
      <w:lvlText w:val="%8."/>
      <w:lvlJc w:val="right"/>
      <w:pPr>
        <w:tabs>
          <w:tab w:val="num" w:pos="5760"/>
        </w:tabs>
        <w:ind w:left="5760" w:hanging="360"/>
      </w:pPr>
    </w:lvl>
    <w:lvl w:ilvl="8" w:tplc="7C6E2EEC" w:tentative="1">
      <w:start w:val="1"/>
      <w:numFmt w:val="lowerRoman"/>
      <w:lvlText w:val="%9."/>
      <w:lvlJc w:val="right"/>
      <w:pPr>
        <w:tabs>
          <w:tab w:val="num" w:pos="6480"/>
        </w:tabs>
        <w:ind w:left="6480" w:hanging="360"/>
      </w:pPr>
    </w:lvl>
  </w:abstractNum>
  <w:abstractNum w:abstractNumId="34" w15:restartNumberingAfterBreak="0">
    <w:nsid w:val="59BB1278"/>
    <w:multiLevelType w:val="hybridMultilevel"/>
    <w:tmpl w:val="4B30CD16"/>
    <w:lvl w:ilvl="0" w:tplc="FFFFFFFF">
      <w:start w:val="1"/>
      <w:numFmt w:val="lowerRoman"/>
      <w:lvlText w:val="%1."/>
      <w:lvlJc w:val="left"/>
      <w:pPr>
        <w:ind w:left="720" w:hanging="360"/>
      </w:pPr>
      <w:rPr>
        <w:rFonts w:hint="default"/>
      </w:rPr>
    </w:lvl>
    <w:lvl w:ilvl="1" w:tplc="3C785A3C">
      <w:start w:val="1"/>
      <w:numFmt w:val="lowerRoman"/>
      <w:pStyle w:val="ListBulletroman"/>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6A6537"/>
    <w:multiLevelType w:val="hybridMultilevel"/>
    <w:tmpl w:val="9B0C8502"/>
    <w:lvl w:ilvl="0" w:tplc="B3E841EA">
      <w:start w:val="1"/>
      <w:numFmt w:val="lowerRoman"/>
      <w:lvlText w:val="%1."/>
      <w:lvlJc w:val="righ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C12C01"/>
    <w:multiLevelType w:val="hybridMultilevel"/>
    <w:tmpl w:val="5EC41F04"/>
    <w:lvl w:ilvl="0" w:tplc="FFFFFFFF">
      <w:start w:val="1"/>
      <w:numFmt w:val="bullet"/>
      <w:lvlText w:val=""/>
      <w:lvlJc w:val="left"/>
      <w:pPr>
        <w:ind w:left="720" w:hanging="360"/>
      </w:pPr>
      <w:rPr>
        <w:rFonts w:ascii="Symbol" w:hAnsi="Symbol" w:hint="default"/>
      </w:rPr>
    </w:lvl>
    <w:lvl w:ilvl="1" w:tplc="EC1202AE">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2E6675E"/>
    <w:multiLevelType w:val="hybridMultilevel"/>
    <w:tmpl w:val="B31CC21C"/>
    <w:lvl w:ilvl="0" w:tplc="322288CA">
      <w:start w:val="5"/>
      <w:numFmt w:val="decimal"/>
      <w:lvlText w:val="%1."/>
      <w:lvlJc w:val="left"/>
      <w:pPr>
        <w:tabs>
          <w:tab w:val="num" w:pos="720"/>
        </w:tabs>
        <w:ind w:left="720" w:hanging="360"/>
      </w:pPr>
    </w:lvl>
    <w:lvl w:ilvl="1" w:tplc="4CACEA50" w:tentative="1">
      <w:start w:val="1"/>
      <w:numFmt w:val="decimal"/>
      <w:lvlText w:val="%2."/>
      <w:lvlJc w:val="left"/>
      <w:pPr>
        <w:tabs>
          <w:tab w:val="num" w:pos="1440"/>
        </w:tabs>
        <w:ind w:left="1440" w:hanging="360"/>
      </w:pPr>
    </w:lvl>
    <w:lvl w:ilvl="2" w:tplc="7FD6B180" w:tentative="1">
      <w:start w:val="1"/>
      <w:numFmt w:val="decimal"/>
      <w:lvlText w:val="%3."/>
      <w:lvlJc w:val="left"/>
      <w:pPr>
        <w:tabs>
          <w:tab w:val="num" w:pos="2160"/>
        </w:tabs>
        <w:ind w:left="2160" w:hanging="360"/>
      </w:pPr>
    </w:lvl>
    <w:lvl w:ilvl="3" w:tplc="E8189BF2" w:tentative="1">
      <w:start w:val="1"/>
      <w:numFmt w:val="decimal"/>
      <w:lvlText w:val="%4."/>
      <w:lvlJc w:val="left"/>
      <w:pPr>
        <w:tabs>
          <w:tab w:val="num" w:pos="2880"/>
        </w:tabs>
        <w:ind w:left="2880" w:hanging="360"/>
      </w:pPr>
    </w:lvl>
    <w:lvl w:ilvl="4" w:tplc="FCDADF5A" w:tentative="1">
      <w:start w:val="1"/>
      <w:numFmt w:val="decimal"/>
      <w:lvlText w:val="%5."/>
      <w:lvlJc w:val="left"/>
      <w:pPr>
        <w:tabs>
          <w:tab w:val="num" w:pos="3600"/>
        </w:tabs>
        <w:ind w:left="3600" w:hanging="360"/>
      </w:pPr>
    </w:lvl>
    <w:lvl w:ilvl="5" w:tplc="2E1AE2EA" w:tentative="1">
      <w:start w:val="1"/>
      <w:numFmt w:val="decimal"/>
      <w:lvlText w:val="%6."/>
      <w:lvlJc w:val="left"/>
      <w:pPr>
        <w:tabs>
          <w:tab w:val="num" w:pos="4320"/>
        </w:tabs>
        <w:ind w:left="4320" w:hanging="360"/>
      </w:pPr>
    </w:lvl>
    <w:lvl w:ilvl="6" w:tplc="DD6C1BF2" w:tentative="1">
      <w:start w:val="1"/>
      <w:numFmt w:val="decimal"/>
      <w:lvlText w:val="%7."/>
      <w:lvlJc w:val="left"/>
      <w:pPr>
        <w:tabs>
          <w:tab w:val="num" w:pos="5040"/>
        </w:tabs>
        <w:ind w:left="5040" w:hanging="360"/>
      </w:pPr>
    </w:lvl>
    <w:lvl w:ilvl="7" w:tplc="5B10D0B8" w:tentative="1">
      <w:start w:val="1"/>
      <w:numFmt w:val="decimal"/>
      <w:lvlText w:val="%8."/>
      <w:lvlJc w:val="left"/>
      <w:pPr>
        <w:tabs>
          <w:tab w:val="num" w:pos="5760"/>
        </w:tabs>
        <w:ind w:left="5760" w:hanging="360"/>
      </w:pPr>
    </w:lvl>
    <w:lvl w:ilvl="8" w:tplc="B60217F8" w:tentative="1">
      <w:start w:val="1"/>
      <w:numFmt w:val="decimal"/>
      <w:lvlText w:val="%9."/>
      <w:lvlJc w:val="left"/>
      <w:pPr>
        <w:tabs>
          <w:tab w:val="num" w:pos="6480"/>
        </w:tabs>
        <w:ind w:left="6480" w:hanging="360"/>
      </w:pPr>
    </w:lvl>
  </w:abstractNum>
  <w:abstractNum w:abstractNumId="38" w15:restartNumberingAfterBreak="0">
    <w:nsid w:val="680C5511"/>
    <w:multiLevelType w:val="hybridMultilevel"/>
    <w:tmpl w:val="457ABB8A"/>
    <w:lvl w:ilvl="0" w:tplc="A2A40170">
      <w:numFmt w:val="bullet"/>
      <w:lvlText w:val="•"/>
      <w:lvlJc w:val="left"/>
      <w:pPr>
        <w:ind w:left="1080" w:hanging="360"/>
      </w:pPr>
      <w:rPr>
        <w:rFonts w:ascii="Segoe UI" w:eastAsiaTheme="minorEastAsia"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A244E"/>
    <w:multiLevelType w:val="hybridMultilevel"/>
    <w:tmpl w:val="511E4E52"/>
    <w:lvl w:ilvl="0" w:tplc="02F4BC66">
      <w:start w:val="1"/>
      <w:numFmt w:val="upperLetter"/>
      <w:pStyle w:val="ListBulletLetters"/>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95A719B"/>
    <w:multiLevelType w:val="hybridMultilevel"/>
    <w:tmpl w:val="4882114C"/>
    <w:lvl w:ilvl="0" w:tplc="0ACEDED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7555A9"/>
    <w:multiLevelType w:val="hybridMultilevel"/>
    <w:tmpl w:val="08C8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979B5"/>
    <w:multiLevelType w:val="hybridMultilevel"/>
    <w:tmpl w:val="EC946C5A"/>
    <w:lvl w:ilvl="0" w:tplc="3EFA71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34195C"/>
    <w:multiLevelType w:val="hybridMultilevel"/>
    <w:tmpl w:val="1C0C5402"/>
    <w:lvl w:ilvl="0" w:tplc="44B8D9EC">
      <w:start w:val="1"/>
      <w:numFmt w:val="lowerRoman"/>
      <w:lvlText w:val="%1."/>
      <w:lvlJc w:val="right"/>
      <w:pPr>
        <w:tabs>
          <w:tab w:val="num" w:pos="720"/>
        </w:tabs>
        <w:ind w:left="720" w:hanging="360"/>
      </w:pPr>
    </w:lvl>
    <w:lvl w:ilvl="1" w:tplc="D7067F4E">
      <w:start w:val="1"/>
      <w:numFmt w:val="lowerLetter"/>
      <w:lvlText w:val="%2."/>
      <w:lvlJc w:val="right"/>
      <w:pPr>
        <w:tabs>
          <w:tab w:val="num" w:pos="1440"/>
        </w:tabs>
        <w:ind w:left="1440" w:hanging="360"/>
      </w:pPr>
    </w:lvl>
    <w:lvl w:ilvl="2" w:tplc="3404C33C" w:tentative="1">
      <w:start w:val="1"/>
      <w:numFmt w:val="lowerRoman"/>
      <w:lvlText w:val="%3."/>
      <w:lvlJc w:val="right"/>
      <w:pPr>
        <w:tabs>
          <w:tab w:val="num" w:pos="2160"/>
        </w:tabs>
        <w:ind w:left="2160" w:hanging="360"/>
      </w:pPr>
    </w:lvl>
    <w:lvl w:ilvl="3" w:tplc="8488F920" w:tentative="1">
      <w:start w:val="1"/>
      <w:numFmt w:val="lowerRoman"/>
      <w:lvlText w:val="%4."/>
      <w:lvlJc w:val="right"/>
      <w:pPr>
        <w:tabs>
          <w:tab w:val="num" w:pos="2880"/>
        </w:tabs>
        <w:ind w:left="2880" w:hanging="360"/>
      </w:pPr>
    </w:lvl>
    <w:lvl w:ilvl="4" w:tplc="06A2C2C0" w:tentative="1">
      <w:start w:val="1"/>
      <w:numFmt w:val="lowerRoman"/>
      <w:lvlText w:val="%5."/>
      <w:lvlJc w:val="right"/>
      <w:pPr>
        <w:tabs>
          <w:tab w:val="num" w:pos="3600"/>
        </w:tabs>
        <w:ind w:left="3600" w:hanging="360"/>
      </w:pPr>
    </w:lvl>
    <w:lvl w:ilvl="5" w:tplc="FBA45662" w:tentative="1">
      <w:start w:val="1"/>
      <w:numFmt w:val="lowerRoman"/>
      <w:lvlText w:val="%6."/>
      <w:lvlJc w:val="right"/>
      <w:pPr>
        <w:tabs>
          <w:tab w:val="num" w:pos="4320"/>
        </w:tabs>
        <w:ind w:left="4320" w:hanging="360"/>
      </w:pPr>
    </w:lvl>
    <w:lvl w:ilvl="6" w:tplc="4DE6C93C" w:tentative="1">
      <w:start w:val="1"/>
      <w:numFmt w:val="lowerRoman"/>
      <w:lvlText w:val="%7."/>
      <w:lvlJc w:val="right"/>
      <w:pPr>
        <w:tabs>
          <w:tab w:val="num" w:pos="5040"/>
        </w:tabs>
        <w:ind w:left="5040" w:hanging="360"/>
      </w:pPr>
    </w:lvl>
    <w:lvl w:ilvl="7" w:tplc="9794A6A2" w:tentative="1">
      <w:start w:val="1"/>
      <w:numFmt w:val="lowerRoman"/>
      <w:lvlText w:val="%8."/>
      <w:lvlJc w:val="right"/>
      <w:pPr>
        <w:tabs>
          <w:tab w:val="num" w:pos="5760"/>
        </w:tabs>
        <w:ind w:left="5760" w:hanging="360"/>
      </w:pPr>
    </w:lvl>
    <w:lvl w:ilvl="8" w:tplc="26586E8A" w:tentative="1">
      <w:start w:val="1"/>
      <w:numFmt w:val="lowerRoman"/>
      <w:lvlText w:val="%9."/>
      <w:lvlJc w:val="right"/>
      <w:pPr>
        <w:tabs>
          <w:tab w:val="num" w:pos="6480"/>
        </w:tabs>
        <w:ind w:left="6480" w:hanging="360"/>
      </w:pPr>
    </w:lvl>
  </w:abstractNum>
  <w:abstractNum w:abstractNumId="44" w15:restartNumberingAfterBreak="0">
    <w:nsid w:val="74775679"/>
    <w:multiLevelType w:val="hybridMultilevel"/>
    <w:tmpl w:val="B1EC3992"/>
    <w:lvl w:ilvl="0" w:tplc="3EFA71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97D0B"/>
    <w:multiLevelType w:val="hybridMultilevel"/>
    <w:tmpl w:val="DF10F83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73E5DE6"/>
    <w:multiLevelType w:val="hybridMultilevel"/>
    <w:tmpl w:val="F6F47D3A"/>
    <w:lvl w:ilvl="0" w:tplc="87E8477C">
      <w:start w:val="1"/>
      <w:numFmt w:val="lowerRoman"/>
      <w:lvlText w:val="%1."/>
      <w:lvlJc w:val="right"/>
      <w:pPr>
        <w:tabs>
          <w:tab w:val="num" w:pos="720"/>
        </w:tabs>
        <w:ind w:left="720" w:hanging="360"/>
      </w:pPr>
    </w:lvl>
    <w:lvl w:ilvl="1" w:tplc="D94A74EA" w:tentative="1">
      <w:start w:val="1"/>
      <w:numFmt w:val="lowerRoman"/>
      <w:lvlText w:val="%2."/>
      <w:lvlJc w:val="right"/>
      <w:pPr>
        <w:tabs>
          <w:tab w:val="num" w:pos="1440"/>
        </w:tabs>
        <w:ind w:left="1440" w:hanging="360"/>
      </w:pPr>
    </w:lvl>
    <w:lvl w:ilvl="2" w:tplc="CE565440" w:tentative="1">
      <w:start w:val="1"/>
      <w:numFmt w:val="lowerRoman"/>
      <w:lvlText w:val="%3."/>
      <w:lvlJc w:val="right"/>
      <w:pPr>
        <w:tabs>
          <w:tab w:val="num" w:pos="2160"/>
        </w:tabs>
        <w:ind w:left="2160" w:hanging="360"/>
      </w:pPr>
    </w:lvl>
    <w:lvl w:ilvl="3" w:tplc="9C40CD8A" w:tentative="1">
      <w:start w:val="1"/>
      <w:numFmt w:val="lowerRoman"/>
      <w:lvlText w:val="%4."/>
      <w:lvlJc w:val="right"/>
      <w:pPr>
        <w:tabs>
          <w:tab w:val="num" w:pos="2880"/>
        </w:tabs>
        <w:ind w:left="2880" w:hanging="360"/>
      </w:pPr>
    </w:lvl>
    <w:lvl w:ilvl="4" w:tplc="9E964BB2" w:tentative="1">
      <w:start w:val="1"/>
      <w:numFmt w:val="lowerRoman"/>
      <w:lvlText w:val="%5."/>
      <w:lvlJc w:val="right"/>
      <w:pPr>
        <w:tabs>
          <w:tab w:val="num" w:pos="3600"/>
        </w:tabs>
        <w:ind w:left="3600" w:hanging="360"/>
      </w:pPr>
    </w:lvl>
    <w:lvl w:ilvl="5" w:tplc="45A081BE" w:tentative="1">
      <w:start w:val="1"/>
      <w:numFmt w:val="lowerRoman"/>
      <w:lvlText w:val="%6."/>
      <w:lvlJc w:val="right"/>
      <w:pPr>
        <w:tabs>
          <w:tab w:val="num" w:pos="4320"/>
        </w:tabs>
        <w:ind w:left="4320" w:hanging="360"/>
      </w:pPr>
    </w:lvl>
    <w:lvl w:ilvl="6" w:tplc="B99C4DD4" w:tentative="1">
      <w:start w:val="1"/>
      <w:numFmt w:val="lowerRoman"/>
      <w:lvlText w:val="%7."/>
      <w:lvlJc w:val="right"/>
      <w:pPr>
        <w:tabs>
          <w:tab w:val="num" w:pos="5040"/>
        </w:tabs>
        <w:ind w:left="5040" w:hanging="360"/>
      </w:pPr>
    </w:lvl>
    <w:lvl w:ilvl="7" w:tplc="1610B33E" w:tentative="1">
      <w:start w:val="1"/>
      <w:numFmt w:val="lowerRoman"/>
      <w:lvlText w:val="%8."/>
      <w:lvlJc w:val="right"/>
      <w:pPr>
        <w:tabs>
          <w:tab w:val="num" w:pos="5760"/>
        </w:tabs>
        <w:ind w:left="5760" w:hanging="360"/>
      </w:pPr>
    </w:lvl>
    <w:lvl w:ilvl="8" w:tplc="C8528FE2" w:tentative="1">
      <w:start w:val="1"/>
      <w:numFmt w:val="lowerRoman"/>
      <w:lvlText w:val="%9."/>
      <w:lvlJc w:val="right"/>
      <w:pPr>
        <w:tabs>
          <w:tab w:val="num" w:pos="6480"/>
        </w:tabs>
        <w:ind w:left="6480" w:hanging="360"/>
      </w:pPr>
    </w:lvl>
  </w:abstractNum>
  <w:abstractNum w:abstractNumId="47" w15:restartNumberingAfterBreak="0">
    <w:nsid w:val="7A8A5A4B"/>
    <w:multiLevelType w:val="hybridMultilevel"/>
    <w:tmpl w:val="13CE2B3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19140A"/>
    <w:multiLevelType w:val="hybridMultilevel"/>
    <w:tmpl w:val="E0B0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432546">
    <w:abstractNumId w:val="18"/>
  </w:num>
  <w:num w:numId="2" w16cid:durableId="900990406">
    <w:abstractNumId w:val="46"/>
  </w:num>
  <w:num w:numId="3" w16cid:durableId="1937209016">
    <w:abstractNumId w:val="16"/>
  </w:num>
  <w:num w:numId="4" w16cid:durableId="251934934">
    <w:abstractNumId w:val="20"/>
  </w:num>
  <w:num w:numId="5" w16cid:durableId="1268345994">
    <w:abstractNumId w:val="10"/>
  </w:num>
  <w:num w:numId="6" w16cid:durableId="72094492">
    <w:abstractNumId w:val="43"/>
  </w:num>
  <w:num w:numId="7" w16cid:durableId="982583227">
    <w:abstractNumId w:val="7"/>
  </w:num>
  <w:num w:numId="8" w16cid:durableId="1270039965">
    <w:abstractNumId w:val="33"/>
  </w:num>
  <w:num w:numId="9" w16cid:durableId="390540339">
    <w:abstractNumId w:val="21"/>
  </w:num>
  <w:num w:numId="10" w16cid:durableId="65882354">
    <w:abstractNumId w:val="23"/>
  </w:num>
  <w:num w:numId="11" w16cid:durableId="77605007">
    <w:abstractNumId w:val="15"/>
  </w:num>
  <w:num w:numId="12" w16cid:durableId="1073430016">
    <w:abstractNumId w:val="3"/>
  </w:num>
  <w:num w:numId="13" w16cid:durableId="1651708182">
    <w:abstractNumId w:val="37"/>
  </w:num>
  <w:num w:numId="14" w16cid:durableId="137386114">
    <w:abstractNumId w:val="31"/>
  </w:num>
  <w:num w:numId="15" w16cid:durableId="753476329">
    <w:abstractNumId w:val="48"/>
  </w:num>
  <w:num w:numId="16" w16cid:durableId="977882237">
    <w:abstractNumId w:val="14"/>
  </w:num>
  <w:num w:numId="17" w16cid:durableId="1101143139">
    <w:abstractNumId w:val="28"/>
  </w:num>
  <w:num w:numId="18" w16cid:durableId="333458959">
    <w:abstractNumId w:val="26"/>
  </w:num>
  <w:num w:numId="19" w16cid:durableId="1062173017">
    <w:abstractNumId w:val="11"/>
  </w:num>
  <w:num w:numId="20" w16cid:durableId="1183470965">
    <w:abstractNumId w:val="44"/>
  </w:num>
  <w:num w:numId="21" w16cid:durableId="54745349">
    <w:abstractNumId w:val="42"/>
  </w:num>
  <w:num w:numId="22" w16cid:durableId="278149746">
    <w:abstractNumId w:val="32"/>
  </w:num>
  <w:num w:numId="23" w16cid:durableId="1636331645">
    <w:abstractNumId w:val="19"/>
  </w:num>
  <w:num w:numId="24" w16cid:durableId="1216508800">
    <w:abstractNumId w:val="30"/>
  </w:num>
  <w:num w:numId="25" w16cid:durableId="1931156362">
    <w:abstractNumId w:val="27"/>
  </w:num>
  <w:num w:numId="26" w16cid:durableId="1500585531">
    <w:abstractNumId w:val="47"/>
  </w:num>
  <w:num w:numId="27" w16cid:durableId="1888300335">
    <w:abstractNumId w:val="22"/>
  </w:num>
  <w:num w:numId="28" w16cid:durableId="2074887204">
    <w:abstractNumId w:val="35"/>
  </w:num>
  <w:num w:numId="29" w16cid:durableId="1604607786">
    <w:abstractNumId w:val="12"/>
  </w:num>
  <w:num w:numId="30" w16cid:durableId="623192432">
    <w:abstractNumId w:val="38"/>
  </w:num>
  <w:num w:numId="31" w16cid:durableId="893779977">
    <w:abstractNumId w:val="5"/>
  </w:num>
  <w:num w:numId="32" w16cid:durableId="371619167">
    <w:abstractNumId w:val="6"/>
  </w:num>
  <w:num w:numId="33" w16cid:durableId="752777235">
    <w:abstractNumId w:val="25"/>
  </w:num>
  <w:num w:numId="34" w16cid:durableId="691149479">
    <w:abstractNumId w:val="9"/>
  </w:num>
  <w:num w:numId="35" w16cid:durableId="805513565">
    <w:abstractNumId w:val="41"/>
  </w:num>
  <w:num w:numId="36" w16cid:durableId="505706161">
    <w:abstractNumId w:val="17"/>
  </w:num>
  <w:num w:numId="37" w16cid:durableId="695278826">
    <w:abstractNumId w:val="13"/>
  </w:num>
  <w:num w:numId="38" w16cid:durableId="2054503511">
    <w:abstractNumId w:val="4"/>
  </w:num>
  <w:num w:numId="39" w16cid:durableId="489105835">
    <w:abstractNumId w:val="2"/>
  </w:num>
  <w:num w:numId="40" w16cid:durableId="1758405541">
    <w:abstractNumId w:val="0"/>
  </w:num>
  <w:num w:numId="41" w16cid:durableId="161745628">
    <w:abstractNumId w:val="29"/>
  </w:num>
  <w:num w:numId="42" w16cid:durableId="1504205616">
    <w:abstractNumId w:val="24"/>
  </w:num>
  <w:num w:numId="43" w16cid:durableId="156848004">
    <w:abstractNumId w:val="39"/>
  </w:num>
  <w:num w:numId="44" w16cid:durableId="1757050635">
    <w:abstractNumId w:val="36"/>
  </w:num>
  <w:num w:numId="45" w16cid:durableId="405537612">
    <w:abstractNumId w:val="39"/>
  </w:num>
  <w:num w:numId="46" w16cid:durableId="1133523094">
    <w:abstractNumId w:val="39"/>
  </w:num>
  <w:num w:numId="47" w16cid:durableId="993339464">
    <w:abstractNumId w:val="39"/>
    <w:lvlOverride w:ilvl="0">
      <w:startOverride w:val="1"/>
    </w:lvlOverride>
  </w:num>
  <w:num w:numId="48" w16cid:durableId="1776170447">
    <w:abstractNumId w:val="1"/>
  </w:num>
  <w:num w:numId="49" w16cid:durableId="1106120481">
    <w:abstractNumId w:val="8"/>
  </w:num>
  <w:num w:numId="50" w16cid:durableId="1230264481">
    <w:abstractNumId w:val="36"/>
    <w:lvlOverride w:ilvl="0">
      <w:startOverride w:val="1"/>
    </w:lvlOverride>
  </w:num>
  <w:num w:numId="51" w16cid:durableId="518932204">
    <w:abstractNumId w:val="36"/>
    <w:lvlOverride w:ilvl="0">
      <w:lvl w:ilvl="0" w:tplc="FFFFFFFF">
        <w:start w:val="1"/>
        <w:numFmt w:val="lowerRoman"/>
        <w:lvlText w:val="(%1)"/>
        <w:lvlJc w:val="left"/>
        <w:pPr>
          <w:ind w:left="1440" w:hanging="360"/>
        </w:pPr>
        <w:rPr>
          <w:rFonts w:hint="default"/>
        </w:rPr>
      </w:lvl>
    </w:lvlOverride>
    <w:lvlOverride w:ilvl="1">
      <w:lvl w:ilvl="1" w:tplc="EC1202AE">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2" w16cid:durableId="371272913">
    <w:abstractNumId w:val="36"/>
    <w:lvlOverride w:ilvl="0">
      <w:startOverride w:val="1"/>
    </w:lvlOverride>
  </w:num>
  <w:num w:numId="53" w16cid:durableId="1906990391">
    <w:abstractNumId w:val="36"/>
    <w:lvlOverride w:ilvl="0">
      <w:startOverride w:val="1"/>
    </w:lvlOverride>
  </w:num>
  <w:num w:numId="54" w16cid:durableId="1566338134">
    <w:abstractNumId w:val="36"/>
    <w:lvlOverride w:ilvl="0">
      <w:startOverride w:val="1"/>
    </w:lvlOverride>
  </w:num>
  <w:num w:numId="55" w16cid:durableId="1283146146">
    <w:abstractNumId w:val="36"/>
    <w:lvlOverride w:ilvl="0">
      <w:startOverride w:val="1"/>
    </w:lvlOverride>
  </w:num>
  <w:num w:numId="56" w16cid:durableId="1252662011">
    <w:abstractNumId w:val="36"/>
    <w:lvlOverride w:ilvl="0">
      <w:lvl w:ilvl="0" w:tplc="FFFFFFFF">
        <w:start w:val="1"/>
        <w:numFmt w:val="lowerRoman"/>
        <w:lvlText w:val="(%1)"/>
        <w:lvlJc w:val="left"/>
        <w:pPr>
          <w:ind w:left="1440" w:hanging="360"/>
        </w:pPr>
        <w:rPr>
          <w:rFonts w:hint="default"/>
        </w:rPr>
      </w:lvl>
    </w:lvlOverride>
    <w:lvlOverride w:ilvl="1">
      <w:lvl w:ilvl="1" w:tplc="EC1202AE">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7" w16cid:durableId="896940080">
    <w:abstractNumId w:val="36"/>
    <w:lvlOverride w:ilvl="0">
      <w:startOverride w:val="1"/>
    </w:lvlOverride>
  </w:num>
  <w:num w:numId="58" w16cid:durableId="1692099237">
    <w:abstractNumId w:val="36"/>
    <w:lvlOverride w:ilvl="0">
      <w:startOverride w:val="1"/>
    </w:lvlOverride>
  </w:num>
  <w:num w:numId="59" w16cid:durableId="1082799872">
    <w:abstractNumId w:val="36"/>
    <w:lvlOverride w:ilvl="0">
      <w:lvl w:ilvl="0" w:tplc="FFFFFFFF">
        <w:start w:val="1"/>
        <w:numFmt w:val="lowerRoman"/>
        <w:lvlText w:val="(%1)"/>
        <w:lvlJc w:val="left"/>
        <w:pPr>
          <w:ind w:left="1440" w:hanging="360"/>
        </w:pPr>
        <w:rPr>
          <w:rFonts w:hint="default"/>
        </w:rPr>
      </w:lvl>
    </w:lvlOverride>
    <w:lvlOverride w:ilvl="1">
      <w:lvl w:ilvl="1" w:tplc="EC1202AE">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0" w16cid:durableId="2145652622">
    <w:abstractNumId w:val="36"/>
    <w:lvlOverride w:ilvl="0">
      <w:lvl w:ilvl="0" w:tplc="FFFFFFFF">
        <w:start w:val="1"/>
        <w:numFmt w:val="lowerRoman"/>
        <w:lvlText w:val="(%1)"/>
        <w:lvlJc w:val="left"/>
        <w:pPr>
          <w:ind w:left="1440" w:hanging="360"/>
        </w:pPr>
        <w:rPr>
          <w:rFonts w:hint="default"/>
        </w:rPr>
      </w:lvl>
    </w:lvlOverride>
    <w:lvlOverride w:ilvl="1">
      <w:lvl w:ilvl="1" w:tplc="EC1202AE">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1" w16cid:durableId="1394740937">
    <w:abstractNumId w:val="40"/>
  </w:num>
  <w:num w:numId="62" w16cid:durableId="1301224393">
    <w:abstractNumId w:val="8"/>
    <w:lvlOverride w:ilvl="0">
      <w:startOverride w:val="1"/>
    </w:lvlOverride>
  </w:num>
  <w:num w:numId="63" w16cid:durableId="376659162">
    <w:abstractNumId w:val="29"/>
  </w:num>
  <w:num w:numId="64" w16cid:durableId="794952627">
    <w:abstractNumId w:val="34"/>
  </w:num>
  <w:num w:numId="65" w16cid:durableId="1909025711">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s7QwN7e0MDQHkko6SsGpxcWZ+XkgBYamtQAdz877LQAAAA=="/>
  </w:docVars>
  <w:rsids>
    <w:rsidRoot w:val="007C0663"/>
    <w:rsid w:val="0000330A"/>
    <w:rsid w:val="0000456C"/>
    <w:rsid w:val="00011638"/>
    <w:rsid w:val="00011AB2"/>
    <w:rsid w:val="00012D05"/>
    <w:rsid w:val="00015A74"/>
    <w:rsid w:val="00015DEF"/>
    <w:rsid w:val="00016721"/>
    <w:rsid w:val="00016B24"/>
    <w:rsid w:val="00017A79"/>
    <w:rsid w:val="00017BCF"/>
    <w:rsid w:val="000202F7"/>
    <w:rsid w:val="00021113"/>
    <w:rsid w:val="00021CEC"/>
    <w:rsid w:val="000233CF"/>
    <w:rsid w:val="00023729"/>
    <w:rsid w:val="00023860"/>
    <w:rsid w:val="000267B9"/>
    <w:rsid w:val="00026F3E"/>
    <w:rsid w:val="000329F5"/>
    <w:rsid w:val="00033597"/>
    <w:rsid w:val="00034ED8"/>
    <w:rsid w:val="00036EBC"/>
    <w:rsid w:val="00036EF4"/>
    <w:rsid w:val="000371CC"/>
    <w:rsid w:val="000372C7"/>
    <w:rsid w:val="00040E46"/>
    <w:rsid w:val="00042258"/>
    <w:rsid w:val="00042C82"/>
    <w:rsid w:val="000433A6"/>
    <w:rsid w:val="00045387"/>
    <w:rsid w:val="00045B11"/>
    <w:rsid w:val="00046926"/>
    <w:rsid w:val="00046D66"/>
    <w:rsid w:val="00046EED"/>
    <w:rsid w:val="00047FE2"/>
    <w:rsid w:val="00052F90"/>
    <w:rsid w:val="00054B2F"/>
    <w:rsid w:val="00056C21"/>
    <w:rsid w:val="00057703"/>
    <w:rsid w:val="00060488"/>
    <w:rsid w:val="00060953"/>
    <w:rsid w:val="00062248"/>
    <w:rsid w:val="00062833"/>
    <w:rsid w:val="000659EE"/>
    <w:rsid w:val="00065EB3"/>
    <w:rsid w:val="00067382"/>
    <w:rsid w:val="0006755F"/>
    <w:rsid w:val="00067EA7"/>
    <w:rsid w:val="000727B8"/>
    <w:rsid w:val="0007293C"/>
    <w:rsid w:val="00075FEF"/>
    <w:rsid w:val="000809F2"/>
    <w:rsid w:val="00082DB5"/>
    <w:rsid w:val="0008450D"/>
    <w:rsid w:val="0008475E"/>
    <w:rsid w:val="000852A9"/>
    <w:rsid w:val="00090D19"/>
    <w:rsid w:val="000935B4"/>
    <w:rsid w:val="00094569"/>
    <w:rsid w:val="00094FD0"/>
    <w:rsid w:val="00096B1E"/>
    <w:rsid w:val="000A08B2"/>
    <w:rsid w:val="000A1407"/>
    <w:rsid w:val="000A1B02"/>
    <w:rsid w:val="000A6772"/>
    <w:rsid w:val="000B03B2"/>
    <w:rsid w:val="000B3F20"/>
    <w:rsid w:val="000B598C"/>
    <w:rsid w:val="000B70FF"/>
    <w:rsid w:val="000C113A"/>
    <w:rsid w:val="000C2A78"/>
    <w:rsid w:val="000C42A2"/>
    <w:rsid w:val="000C4CCA"/>
    <w:rsid w:val="000C515D"/>
    <w:rsid w:val="000D033A"/>
    <w:rsid w:val="000D2552"/>
    <w:rsid w:val="000D281E"/>
    <w:rsid w:val="000D3B62"/>
    <w:rsid w:val="000D45DE"/>
    <w:rsid w:val="000D47D5"/>
    <w:rsid w:val="000D6DC0"/>
    <w:rsid w:val="000E2658"/>
    <w:rsid w:val="000E2857"/>
    <w:rsid w:val="000E32E8"/>
    <w:rsid w:val="000E68BA"/>
    <w:rsid w:val="000E7828"/>
    <w:rsid w:val="000F06CB"/>
    <w:rsid w:val="000F4167"/>
    <w:rsid w:val="000F4D8D"/>
    <w:rsid w:val="000F5120"/>
    <w:rsid w:val="000F7C93"/>
    <w:rsid w:val="001011AB"/>
    <w:rsid w:val="00103BC4"/>
    <w:rsid w:val="00104B22"/>
    <w:rsid w:val="00106E61"/>
    <w:rsid w:val="00110472"/>
    <w:rsid w:val="00112EFB"/>
    <w:rsid w:val="001137FC"/>
    <w:rsid w:val="00114CDF"/>
    <w:rsid w:val="00114D8D"/>
    <w:rsid w:val="00115C30"/>
    <w:rsid w:val="0011731C"/>
    <w:rsid w:val="00117DD3"/>
    <w:rsid w:val="0012042C"/>
    <w:rsid w:val="00120EB4"/>
    <w:rsid w:val="0012212C"/>
    <w:rsid w:val="00122C2F"/>
    <w:rsid w:val="00122C84"/>
    <w:rsid w:val="00126250"/>
    <w:rsid w:val="00130347"/>
    <w:rsid w:val="0013059A"/>
    <w:rsid w:val="00130827"/>
    <w:rsid w:val="001348B8"/>
    <w:rsid w:val="0014114D"/>
    <w:rsid w:val="00142090"/>
    <w:rsid w:val="00150D46"/>
    <w:rsid w:val="00151443"/>
    <w:rsid w:val="0015163D"/>
    <w:rsid w:val="001518F0"/>
    <w:rsid w:val="00152CB9"/>
    <w:rsid w:val="00153E47"/>
    <w:rsid w:val="00154286"/>
    <w:rsid w:val="00167CD0"/>
    <w:rsid w:val="00172F16"/>
    <w:rsid w:val="00173E71"/>
    <w:rsid w:val="00175BEA"/>
    <w:rsid w:val="00176A31"/>
    <w:rsid w:val="00180B75"/>
    <w:rsid w:val="00194634"/>
    <w:rsid w:val="00196087"/>
    <w:rsid w:val="00197C05"/>
    <w:rsid w:val="001A0600"/>
    <w:rsid w:val="001A12E8"/>
    <w:rsid w:val="001A141C"/>
    <w:rsid w:val="001A278B"/>
    <w:rsid w:val="001A3655"/>
    <w:rsid w:val="001A50A7"/>
    <w:rsid w:val="001A5B9A"/>
    <w:rsid w:val="001B4118"/>
    <w:rsid w:val="001B55B6"/>
    <w:rsid w:val="001B55D1"/>
    <w:rsid w:val="001B6C2E"/>
    <w:rsid w:val="001C4A93"/>
    <w:rsid w:val="001C69CD"/>
    <w:rsid w:val="001D6883"/>
    <w:rsid w:val="001E3896"/>
    <w:rsid w:val="001E4B74"/>
    <w:rsid w:val="001F0822"/>
    <w:rsid w:val="001F3FBA"/>
    <w:rsid w:val="001F44B0"/>
    <w:rsid w:val="0020181E"/>
    <w:rsid w:val="002047C8"/>
    <w:rsid w:val="00210D92"/>
    <w:rsid w:val="002129D2"/>
    <w:rsid w:val="00213BC2"/>
    <w:rsid w:val="00215F39"/>
    <w:rsid w:val="00216A39"/>
    <w:rsid w:val="002174D5"/>
    <w:rsid w:val="00217E5F"/>
    <w:rsid w:val="002201D7"/>
    <w:rsid w:val="00220392"/>
    <w:rsid w:val="00221068"/>
    <w:rsid w:val="00221DB1"/>
    <w:rsid w:val="00222B38"/>
    <w:rsid w:val="00224CD0"/>
    <w:rsid w:val="00234189"/>
    <w:rsid w:val="0023525A"/>
    <w:rsid w:val="00236E00"/>
    <w:rsid w:val="0024180E"/>
    <w:rsid w:val="00241A6E"/>
    <w:rsid w:val="00241DE4"/>
    <w:rsid w:val="0024242D"/>
    <w:rsid w:val="00242C3F"/>
    <w:rsid w:val="002464BB"/>
    <w:rsid w:val="002476E1"/>
    <w:rsid w:val="00252898"/>
    <w:rsid w:val="0025451F"/>
    <w:rsid w:val="00254523"/>
    <w:rsid w:val="00255CDC"/>
    <w:rsid w:val="00256471"/>
    <w:rsid w:val="00256B71"/>
    <w:rsid w:val="00257033"/>
    <w:rsid w:val="00260B90"/>
    <w:rsid w:val="00260C63"/>
    <w:rsid w:val="00264287"/>
    <w:rsid w:val="00264A7E"/>
    <w:rsid w:val="002716EB"/>
    <w:rsid w:val="0027461A"/>
    <w:rsid w:val="00276CDC"/>
    <w:rsid w:val="00280E70"/>
    <w:rsid w:val="00283F5D"/>
    <w:rsid w:val="00284689"/>
    <w:rsid w:val="00285D77"/>
    <w:rsid w:val="00287F5B"/>
    <w:rsid w:val="00290B55"/>
    <w:rsid w:val="00290BF9"/>
    <w:rsid w:val="002910D1"/>
    <w:rsid w:val="00291C46"/>
    <w:rsid w:val="00292AA9"/>
    <w:rsid w:val="00294919"/>
    <w:rsid w:val="00296692"/>
    <w:rsid w:val="00297A33"/>
    <w:rsid w:val="002A0ED1"/>
    <w:rsid w:val="002A2657"/>
    <w:rsid w:val="002A296A"/>
    <w:rsid w:val="002A2B19"/>
    <w:rsid w:val="002B0A3C"/>
    <w:rsid w:val="002B447F"/>
    <w:rsid w:val="002B52D1"/>
    <w:rsid w:val="002B7895"/>
    <w:rsid w:val="002C06DD"/>
    <w:rsid w:val="002C333B"/>
    <w:rsid w:val="002D1A15"/>
    <w:rsid w:val="002D3123"/>
    <w:rsid w:val="002D56C1"/>
    <w:rsid w:val="002D5C6C"/>
    <w:rsid w:val="002E055F"/>
    <w:rsid w:val="002E1CF9"/>
    <w:rsid w:val="002E1F00"/>
    <w:rsid w:val="002E50C3"/>
    <w:rsid w:val="002E60C7"/>
    <w:rsid w:val="002F0075"/>
    <w:rsid w:val="002F09FF"/>
    <w:rsid w:val="002F320C"/>
    <w:rsid w:val="002F4628"/>
    <w:rsid w:val="002F63A4"/>
    <w:rsid w:val="002F72EF"/>
    <w:rsid w:val="00300710"/>
    <w:rsid w:val="00300B6C"/>
    <w:rsid w:val="00300EF0"/>
    <w:rsid w:val="00300FA7"/>
    <w:rsid w:val="00301F29"/>
    <w:rsid w:val="00302802"/>
    <w:rsid w:val="00302E82"/>
    <w:rsid w:val="003034C1"/>
    <w:rsid w:val="0030359B"/>
    <w:rsid w:val="00304DE2"/>
    <w:rsid w:val="00305798"/>
    <w:rsid w:val="0030701E"/>
    <w:rsid w:val="00311209"/>
    <w:rsid w:val="00311A2F"/>
    <w:rsid w:val="00313025"/>
    <w:rsid w:val="00313C39"/>
    <w:rsid w:val="00316451"/>
    <w:rsid w:val="00321877"/>
    <w:rsid w:val="00322744"/>
    <w:rsid w:val="00322965"/>
    <w:rsid w:val="003236FB"/>
    <w:rsid w:val="00324158"/>
    <w:rsid w:val="00324241"/>
    <w:rsid w:val="003260E6"/>
    <w:rsid w:val="003270EF"/>
    <w:rsid w:val="00327D7B"/>
    <w:rsid w:val="00332459"/>
    <w:rsid w:val="00333638"/>
    <w:rsid w:val="00335EE0"/>
    <w:rsid w:val="00336FC3"/>
    <w:rsid w:val="003373EF"/>
    <w:rsid w:val="00337AE7"/>
    <w:rsid w:val="00340196"/>
    <w:rsid w:val="003429C9"/>
    <w:rsid w:val="00343829"/>
    <w:rsid w:val="00345387"/>
    <w:rsid w:val="003464C7"/>
    <w:rsid w:val="00346F1B"/>
    <w:rsid w:val="003516E8"/>
    <w:rsid w:val="0035276D"/>
    <w:rsid w:val="00352BC5"/>
    <w:rsid w:val="00355767"/>
    <w:rsid w:val="0036176E"/>
    <w:rsid w:val="00365E40"/>
    <w:rsid w:val="00366D73"/>
    <w:rsid w:val="00367191"/>
    <w:rsid w:val="003704B1"/>
    <w:rsid w:val="0037131D"/>
    <w:rsid w:val="003729C4"/>
    <w:rsid w:val="003732F8"/>
    <w:rsid w:val="003759EF"/>
    <w:rsid w:val="003768A8"/>
    <w:rsid w:val="003778E5"/>
    <w:rsid w:val="00380BA1"/>
    <w:rsid w:val="00382226"/>
    <w:rsid w:val="00382313"/>
    <w:rsid w:val="0038231B"/>
    <w:rsid w:val="00386ED7"/>
    <w:rsid w:val="003872FE"/>
    <w:rsid w:val="00387F17"/>
    <w:rsid w:val="00390BFB"/>
    <w:rsid w:val="00392357"/>
    <w:rsid w:val="00395FE2"/>
    <w:rsid w:val="003A61AE"/>
    <w:rsid w:val="003A6C39"/>
    <w:rsid w:val="003A7E80"/>
    <w:rsid w:val="003B0C5B"/>
    <w:rsid w:val="003B16D1"/>
    <w:rsid w:val="003B22F2"/>
    <w:rsid w:val="003B2336"/>
    <w:rsid w:val="003B2833"/>
    <w:rsid w:val="003B43E9"/>
    <w:rsid w:val="003B4EBE"/>
    <w:rsid w:val="003B5A83"/>
    <w:rsid w:val="003B7CA2"/>
    <w:rsid w:val="003C043F"/>
    <w:rsid w:val="003C0BAB"/>
    <w:rsid w:val="003C1AC6"/>
    <w:rsid w:val="003C4C74"/>
    <w:rsid w:val="003C5533"/>
    <w:rsid w:val="003C61B4"/>
    <w:rsid w:val="003C664E"/>
    <w:rsid w:val="003D0EA8"/>
    <w:rsid w:val="003D311F"/>
    <w:rsid w:val="003D714A"/>
    <w:rsid w:val="003D781F"/>
    <w:rsid w:val="003E0210"/>
    <w:rsid w:val="003E1EF6"/>
    <w:rsid w:val="003E2A2D"/>
    <w:rsid w:val="003E4AE7"/>
    <w:rsid w:val="003E5F27"/>
    <w:rsid w:val="003E6835"/>
    <w:rsid w:val="003E7F7C"/>
    <w:rsid w:val="003F04D6"/>
    <w:rsid w:val="003F0AD1"/>
    <w:rsid w:val="003F0E9C"/>
    <w:rsid w:val="003F3699"/>
    <w:rsid w:val="003F540C"/>
    <w:rsid w:val="003F5AA6"/>
    <w:rsid w:val="003F5CB1"/>
    <w:rsid w:val="003F6A33"/>
    <w:rsid w:val="00400F73"/>
    <w:rsid w:val="00411792"/>
    <w:rsid w:val="00412157"/>
    <w:rsid w:val="004142F0"/>
    <w:rsid w:val="00414E7A"/>
    <w:rsid w:val="00415B80"/>
    <w:rsid w:val="00415C79"/>
    <w:rsid w:val="00416094"/>
    <w:rsid w:val="00420D83"/>
    <w:rsid w:val="00421608"/>
    <w:rsid w:val="004219BC"/>
    <w:rsid w:val="0042444C"/>
    <w:rsid w:val="00425759"/>
    <w:rsid w:val="004304EC"/>
    <w:rsid w:val="004317CC"/>
    <w:rsid w:val="00431FEB"/>
    <w:rsid w:val="00432792"/>
    <w:rsid w:val="00434F44"/>
    <w:rsid w:val="00435681"/>
    <w:rsid w:val="00436D04"/>
    <w:rsid w:val="0043717C"/>
    <w:rsid w:val="004376CB"/>
    <w:rsid w:val="004377B4"/>
    <w:rsid w:val="0044008D"/>
    <w:rsid w:val="004407F1"/>
    <w:rsid w:val="00441620"/>
    <w:rsid w:val="00443475"/>
    <w:rsid w:val="00443C59"/>
    <w:rsid w:val="00444D16"/>
    <w:rsid w:val="00446FEB"/>
    <w:rsid w:val="004475C8"/>
    <w:rsid w:val="00452317"/>
    <w:rsid w:val="004548AC"/>
    <w:rsid w:val="00462267"/>
    <w:rsid w:val="00464CF5"/>
    <w:rsid w:val="00465DD8"/>
    <w:rsid w:val="0046716F"/>
    <w:rsid w:val="004728C4"/>
    <w:rsid w:val="0047601A"/>
    <w:rsid w:val="00480DF9"/>
    <w:rsid w:val="00482749"/>
    <w:rsid w:val="00485C51"/>
    <w:rsid w:val="00487380"/>
    <w:rsid w:val="0048793A"/>
    <w:rsid w:val="00487A53"/>
    <w:rsid w:val="00491785"/>
    <w:rsid w:val="00492C65"/>
    <w:rsid w:val="00492C78"/>
    <w:rsid w:val="00494D99"/>
    <w:rsid w:val="00494DA4"/>
    <w:rsid w:val="00495FDE"/>
    <w:rsid w:val="004968C8"/>
    <w:rsid w:val="004A1580"/>
    <w:rsid w:val="004A2F1F"/>
    <w:rsid w:val="004A5C07"/>
    <w:rsid w:val="004A738B"/>
    <w:rsid w:val="004B0B1D"/>
    <w:rsid w:val="004B3579"/>
    <w:rsid w:val="004B3580"/>
    <w:rsid w:val="004B3F67"/>
    <w:rsid w:val="004B47BD"/>
    <w:rsid w:val="004B4C9C"/>
    <w:rsid w:val="004B7EF5"/>
    <w:rsid w:val="004C1003"/>
    <w:rsid w:val="004C2A6C"/>
    <w:rsid w:val="004C3DD6"/>
    <w:rsid w:val="004C5DA4"/>
    <w:rsid w:val="004C6D56"/>
    <w:rsid w:val="004C7E30"/>
    <w:rsid w:val="004D2556"/>
    <w:rsid w:val="004D5120"/>
    <w:rsid w:val="004D5CFD"/>
    <w:rsid w:val="004E21E6"/>
    <w:rsid w:val="004E57DA"/>
    <w:rsid w:val="004E77A3"/>
    <w:rsid w:val="004F02D8"/>
    <w:rsid w:val="004F0B5C"/>
    <w:rsid w:val="004F1D44"/>
    <w:rsid w:val="004F2190"/>
    <w:rsid w:val="004F2CC8"/>
    <w:rsid w:val="004F3EA7"/>
    <w:rsid w:val="004F43E7"/>
    <w:rsid w:val="004F4CA4"/>
    <w:rsid w:val="004F6DCD"/>
    <w:rsid w:val="004F755E"/>
    <w:rsid w:val="0050203C"/>
    <w:rsid w:val="00502B73"/>
    <w:rsid w:val="0050632F"/>
    <w:rsid w:val="005070E4"/>
    <w:rsid w:val="005077BE"/>
    <w:rsid w:val="005112F0"/>
    <w:rsid w:val="0051164A"/>
    <w:rsid w:val="00511FFA"/>
    <w:rsid w:val="00513B06"/>
    <w:rsid w:val="00513F67"/>
    <w:rsid w:val="00514311"/>
    <w:rsid w:val="00515469"/>
    <w:rsid w:val="00517A5D"/>
    <w:rsid w:val="00517BA2"/>
    <w:rsid w:val="00520D76"/>
    <w:rsid w:val="00521653"/>
    <w:rsid w:val="0052174B"/>
    <w:rsid w:val="00523368"/>
    <w:rsid w:val="00526296"/>
    <w:rsid w:val="00531C58"/>
    <w:rsid w:val="00532B50"/>
    <w:rsid w:val="00533245"/>
    <w:rsid w:val="00533CEF"/>
    <w:rsid w:val="00534721"/>
    <w:rsid w:val="005347E4"/>
    <w:rsid w:val="0053491B"/>
    <w:rsid w:val="00534BF5"/>
    <w:rsid w:val="00535A58"/>
    <w:rsid w:val="0053712F"/>
    <w:rsid w:val="00537859"/>
    <w:rsid w:val="005405CF"/>
    <w:rsid w:val="00544AD6"/>
    <w:rsid w:val="00545968"/>
    <w:rsid w:val="00545E80"/>
    <w:rsid w:val="00547DF6"/>
    <w:rsid w:val="005519F3"/>
    <w:rsid w:val="0055318C"/>
    <w:rsid w:val="00553E53"/>
    <w:rsid w:val="005560C2"/>
    <w:rsid w:val="00562509"/>
    <w:rsid w:val="00565C5D"/>
    <w:rsid w:val="005673FE"/>
    <w:rsid w:val="00570773"/>
    <w:rsid w:val="00572458"/>
    <w:rsid w:val="005742D7"/>
    <w:rsid w:val="0058066B"/>
    <w:rsid w:val="005806F8"/>
    <w:rsid w:val="00580A01"/>
    <w:rsid w:val="00581F0A"/>
    <w:rsid w:val="00582A77"/>
    <w:rsid w:val="00582EB0"/>
    <w:rsid w:val="005838BB"/>
    <w:rsid w:val="00585D80"/>
    <w:rsid w:val="00590CB3"/>
    <w:rsid w:val="0059412E"/>
    <w:rsid w:val="00595E55"/>
    <w:rsid w:val="00595E74"/>
    <w:rsid w:val="00597674"/>
    <w:rsid w:val="005A0A59"/>
    <w:rsid w:val="005A295B"/>
    <w:rsid w:val="005A3386"/>
    <w:rsid w:val="005A708F"/>
    <w:rsid w:val="005A7875"/>
    <w:rsid w:val="005B1570"/>
    <w:rsid w:val="005B2495"/>
    <w:rsid w:val="005B27AA"/>
    <w:rsid w:val="005B2CD4"/>
    <w:rsid w:val="005B67E5"/>
    <w:rsid w:val="005B7D16"/>
    <w:rsid w:val="005C0014"/>
    <w:rsid w:val="005C2361"/>
    <w:rsid w:val="005C3BC6"/>
    <w:rsid w:val="005C50D5"/>
    <w:rsid w:val="005D2E1F"/>
    <w:rsid w:val="005D2F1C"/>
    <w:rsid w:val="005D42CC"/>
    <w:rsid w:val="005D4412"/>
    <w:rsid w:val="005E103E"/>
    <w:rsid w:val="005E736D"/>
    <w:rsid w:val="005E740E"/>
    <w:rsid w:val="005F1977"/>
    <w:rsid w:val="005F3B0A"/>
    <w:rsid w:val="005F7022"/>
    <w:rsid w:val="005F7D5C"/>
    <w:rsid w:val="00604008"/>
    <w:rsid w:val="00607109"/>
    <w:rsid w:val="00610B69"/>
    <w:rsid w:val="0061265D"/>
    <w:rsid w:val="00615401"/>
    <w:rsid w:val="006159DA"/>
    <w:rsid w:val="00616C08"/>
    <w:rsid w:val="00617954"/>
    <w:rsid w:val="0062091B"/>
    <w:rsid w:val="006226C5"/>
    <w:rsid w:val="006258CE"/>
    <w:rsid w:val="00632E16"/>
    <w:rsid w:val="0063440E"/>
    <w:rsid w:val="006359B6"/>
    <w:rsid w:val="00636302"/>
    <w:rsid w:val="00640D01"/>
    <w:rsid w:val="00640DD2"/>
    <w:rsid w:val="00642A32"/>
    <w:rsid w:val="006444D9"/>
    <w:rsid w:val="0064547F"/>
    <w:rsid w:val="006468FD"/>
    <w:rsid w:val="00651633"/>
    <w:rsid w:val="00654794"/>
    <w:rsid w:val="00656102"/>
    <w:rsid w:val="00657EF0"/>
    <w:rsid w:val="006627C7"/>
    <w:rsid w:val="00662EF1"/>
    <w:rsid w:val="006654EF"/>
    <w:rsid w:val="0066552E"/>
    <w:rsid w:val="00666399"/>
    <w:rsid w:val="0066737B"/>
    <w:rsid w:val="0067406B"/>
    <w:rsid w:val="00675ADD"/>
    <w:rsid w:val="00675FE8"/>
    <w:rsid w:val="00676AD2"/>
    <w:rsid w:val="00677668"/>
    <w:rsid w:val="006830B2"/>
    <w:rsid w:val="0068367F"/>
    <w:rsid w:val="00684A5F"/>
    <w:rsid w:val="00684C90"/>
    <w:rsid w:val="006872E1"/>
    <w:rsid w:val="006873DA"/>
    <w:rsid w:val="00690BE2"/>
    <w:rsid w:val="00691FBF"/>
    <w:rsid w:val="006935D8"/>
    <w:rsid w:val="00694851"/>
    <w:rsid w:val="006969F2"/>
    <w:rsid w:val="00697B8E"/>
    <w:rsid w:val="006A0CC0"/>
    <w:rsid w:val="006A3A9B"/>
    <w:rsid w:val="006A405C"/>
    <w:rsid w:val="006A5EEF"/>
    <w:rsid w:val="006A6D8D"/>
    <w:rsid w:val="006A7A1E"/>
    <w:rsid w:val="006B28E3"/>
    <w:rsid w:val="006B2A64"/>
    <w:rsid w:val="006B411F"/>
    <w:rsid w:val="006B532A"/>
    <w:rsid w:val="006B5A0A"/>
    <w:rsid w:val="006B76F2"/>
    <w:rsid w:val="006C151C"/>
    <w:rsid w:val="006C1F63"/>
    <w:rsid w:val="006C2507"/>
    <w:rsid w:val="006C29B6"/>
    <w:rsid w:val="006C34BC"/>
    <w:rsid w:val="006C4CE2"/>
    <w:rsid w:val="006C5847"/>
    <w:rsid w:val="006C6F18"/>
    <w:rsid w:val="006D31CB"/>
    <w:rsid w:val="006D34F8"/>
    <w:rsid w:val="006D3CB9"/>
    <w:rsid w:val="006D5145"/>
    <w:rsid w:val="006D7D57"/>
    <w:rsid w:val="006E1904"/>
    <w:rsid w:val="006E2089"/>
    <w:rsid w:val="006E38D4"/>
    <w:rsid w:val="006E397E"/>
    <w:rsid w:val="006E3D47"/>
    <w:rsid w:val="006E4F3D"/>
    <w:rsid w:val="006F200B"/>
    <w:rsid w:val="006F2B71"/>
    <w:rsid w:val="006F2E7C"/>
    <w:rsid w:val="006F44C9"/>
    <w:rsid w:val="006F61F5"/>
    <w:rsid w:val="006F79C3"/>
    <w:rsid w:val="00700C84"/>
    <w:rsid w:val="00701595"/>
    <w:rsid w:val="00702D5A"/>
    <w:rsid w:val="007030F0"/>
    <w:rsid w:val="00703D66"/>
    <w:rsid w:val="00706D7B"/>
    <w:rsid w:val="00707365"/>
    <w:rsid w:val="00711781"/>
    <w:rsid w:val="00713F1C"/>
    <w:rsid w:val="00716543"/>
    <w:rsid w:val="00716633"/>
    <w:rsid w:val="00717A09"/>
    <w:rsid w:val="00720206"/>
    <w:rsid w:val="00720EA3"/>
    <w:rsid w:val="00724722"/>
    <w:rsid w:val="007255CB"/>
    <w:rsid w:val="00726A40"/>
    <w:rsid w:val="00726AE2"/>
    <w:rsid w:val="00732C85"/>
    <w:rsid w:val="007334CB"/>
    <w:rsid w:val="00734601"/>
    <w:rsid w:val="0073498E"/>
    <w:rsid w:val="00741123"/>
    <w:rsid w:val="0074396E"/>
    <w:rsid w:val="00744D69"/>
    <w:rsid w:val="00751F19"/>
    <w:rsid w:val="00761C8B"/>
    <w:rsid w:val="00765945"/>
    <w:rsid w:val="00765DFA"/>
    <w:rsid w:val="007660E9"/>
    <w:rsid w:val="0077026B"/>
    <w:rsid w:val="00770DE7"/>
    <w:rsid w:val="0077418E"/>
    <w:rsid w:val="0077438C"/>
    <w:rsid w:val="00775A6B"/>
    <w:rsid w:val="00777FE1"/>
    <w:rsid w:val="007856C8"/>
    <w:rsid w:val="007863DA"/>
    <w:rsid w:val="00787E3A"/>
    <w:rsid w:val="00790411"/>
    <w:rsid w:val="00790F8E"/>
    <w:rsid w:val="007914D0"/>
    <w:rsid w:val="007927E9"/>
    <w:rsid w:val="00792C2C"/>
    <w:rsid w:val="00793000"/>
    <w:rsid w:val="00793C0B"/>
    <w:rsid w:val="00794402"/>
    <w:rsid w:val="007956D2"/>
    <w:rsid w:val="007964CE"/>
    <w:rsid w:val="007A1711"/>
    <w:rsid w:val="007A39DD"/>
    <w:rsid w:val="007A3A6A"/>
    <w:rsid w:val="007A437D"/>
    <w:rsid w:val="007A4384"/>
    <w:rsid w:val="007A7B35"/>
    <w:rsid w:val="007B1038"/>
    <w:rsid w:val="007B1358"/>
    <w:rsid w:val="007B32B2"/>
    <w:rsid w:val="007B708E"/>
    <w:rsid w:val="007C03D2"/>
    <w:rsid w:val="007C0663"/>
    <w:rsid w:val="007C0AA4"/>
    <w:rsid w:val="007C1E90"/>
    <w:rsid w:val="007C241E"/>
    <w:rsid w:val="007C3287"/>
    <w:rsid w:val="007C3F9A"/>
    <w:rsid w:val="007C4D26"/>
    <w:rsid w:val="007C5C93"/>
    <w:rsid w:val="007D5981"/>
    <w:rsid w:val="007D5C18"/>
    <w:rsid w:val="007D7815"/>
    <w:rsid w:val="007D7D94"/>
    <w:rsid w:val="007E0DCF"/>
    <w:rsid w:val="007E174D"/>
    <w:rsid w:val="007E265F"/>
    <w:rsid w:val="007E2D26"/>
    <w:rsid w:val="007E3AFA"/>
    <w:rsid w:val="007E5961"/>
    <w:rsid w:val="007E608D"/>
    <w:rsid w:val="007F1A41"/>
    <w:rsid w:val="007F1E0B"/>
    <w:rsid w:val="007F2BBB"/>
    <w:rsid w:val="007F4D3E"/>
    <w:rsid w:val="007F5180"/>
    <w:rsid w:val="007F56B6"/>
    <w:rsid w:val="007F72BC"/>
    <w:rsid w:val="00800499"/>
    <w:rsid w:val="00800EEE"/>
    <w:rsid w:val="00801DAE"/>
    <w:rsid w:val="008031FF"/>
    <w:rsid w:val="0080493F"/>
    <w:rsid w:val="00811489"/>
    <w:rsid w:val="00811878"/>
    <w:rsid w:val="00812861"/>
    <w:rsid w:val="00814001"/>
    <w:rsid w:val="00814C92"/>
    <w:rsid w:val="00816238"/>
    <w:rsid w:val="00816DDF"/>
    <w:rsid w:val="00817C67"/>
    <w:rsid w:val="0082010A"/>
    <w:rsid w:val="00821141"/>
    <w:rsid w:val="00821A5E"/>
    <w:rsid w:val="00823365"/>
    <w:rsid w:val="00823D1E"/>
    <w:rsid w:val="008251B3"/>
    <w:rsid w:val="00827C7C"/>
    <w:rsid w:val="008311B7"/>
    <w:rsid w:val="008338B4"/>
    <w:rsid w:val="00833B24"/>
    <w:rsid w:val="0083511D"/>
    <w:rsid w:val="00835DFF"/>
    <w:rsid w:val="00836FEB"/>
    <w:rsid w:val="008378C7"/>
    <w:rsid w:val="00841288"/>
    <w:rsid w:val="008418C9"/>
    <w:rsid w:val="008432FE"/>
    <w:rsid w:val="00843422"/>
    <w:rsid w:val="00846FDB"/>
    <w:rsid w:val="00847C1B"/>
    <w:rsid w:val="00851328"/>
    <w:rsid w:val="00856A42"/>
    <w:rsid w:val="008573E9"/>
    <w:rsid w:val="00861F03"/>
    <w:rsid w:val="00863C9F"/>
    <w:rsid w:val="00863E5A"/>
    <w:rsid w:val="008642AA"/>
    <w:rsid w:val="00864460"/>
    <w:rsid w:val="00865CBB"/>
    <w:rsid w:val="00866F12"/>
    <w:rsid w:val="00867161"/>
    <w:rsid w:val="008675FA"/>
    <w:rsid w:val="0086788A"/>
    <w:rsid w:val="008753A7"/>
    <w:rsid w:val="008759F4"/>
    <w:rsid w:val="0087602E"/>
    <w:rsid w:val="00880085"/>
    <w:rsid w:val="00880787"/>
    <w:rsid w:val="008809AE"/>
    <w:rsid w:val="008809BD"/>
    <w:rsid w:val="00881799"/>
    <w:rsid w:val="00883675"/>
    <w:rsid w:val="00886BA7"/>
    <w:rsid w:val="008913D7"/>
    <w:rsid w:val="00891C14"/>
    <w:rsid w:val="00892865"/>
    <w:rsid w:val="00893E19"/>
    <w:rsid w:val="008944FF"/>
    <w:rsid w:val="0089451D"/>
    <w:rsid w:val="008958C4"/>
    <w:rsid w:val="00897B93"/>
    <w:rsid w:val="008A220F"/>
    <w:rsid w:val="008A426D"/>
    <w:rsid w:val="008A5814"/>
    <w:rsid w:val="008A5964"/>
    <w:rsid w:val="008A6E5A"/>
    <w:rsid w:val="008B3767"/>
    <w:rsid w:val="008B3ABD"/>
    <w:rsid w:val="008B4974"/>
    <w:rsid w:val="008B58B2"/>
    <w:rsid w:val="008B5A18"/>
    <w:rsid w:val="008C02AB"/>
    <w:rsid w:val="008C5360"/>
    <w:rsid w:val="008C68CC"/>
    <w:rsid w:val="008D10E9"/>
    <w:rsid w:val="008D2302"/>
    <w:rsid w:val="008D27E7"/>
    <w:rsid w:val="008D386C"/>
    <w:rsid w:val="008D4E46"/>
    <w:rsid w:val="008D567D"/>
    <w:rsid w:val="008D5A67"/>
    <w:rsid w:val="008D5D9D"/>
    <w:rsid w:val="008D6E44"/>
    <w:rsid w:val="008D6F07"/>
    <w:rsid w:val="008E0D1C"/>
    <w:rsid w:val="008E1179"/>
    <w:rsid w:val="008E1E5D"/>
    <w:rsid w:val="008E214D"/>
    <w:rsid w:val="008E232C"/>
    <w:rsid w:val="008E2ADE"/>
    <w:rsid w:val="008E4177"/>
    <w:rsid w:val="008E46DF"/>
    <w:rsid w:val="008E5F07"/>
    <w:rsid w:val="008E6C9A"/>
    <w:rsid w:val="008F04B6"/>
    <w:rsid w:val="008F2E9E"/>
    <w:rsid w:val="008F413B"/>
    <w:rsid w:val="008F49BE"/>
    <w:rsid w:val="008F7D0E"/>
    <w:rsid w:val="00902C39"/>
    <w:rsid w:val="00903ED7"/>
    <w:rsid w:val="0090485E"/>
    <w:rsid w:val="0090751B"/>
    <w:rsid w:val="00907E07"/>
    <w:rsid w:val="00911B05"/>
    <w:rsid w:val="00917DF8"/>
    <w:rsid w:val="0092004C"/>
    <w:rsid w:val="00920E60"/>
    <w:rsid w:val="00922D43"/>
    <w:rsid w:val="00923EFE"/>
    <w:rsid w:val="00925221"/>
    <w:rsid w:val="00925B2E"/>
    <w:rsid w:val="00932EF0"/>
    <w:rsid w:val="009333FB"/>
    <w:rsid w:val="00934C88"/>
    <w:rsid w:val="009355CB"/>
    <w:rsid w:val="009364BF"/>
    <w:rsid w:val="009367FE"/>
    <w:rsid w:val="0093798D"/>
    <w:rsid w:val="00937FC5"/>
    <w:rsid w:val="00940AE6"/>
    <w:rsid w:val="009423C7"/>
    <w:rsid w:val="009526A2"/>
    <w:rsid w:val="009554C1"/>
    <w:rsid w:val="00956CC1"/>
    <w:rsid w:val="00960F7F"/>
    <w:rsid w:val="009610B9"/>
    <w:rsid w:val="00966DF2"/>
    <w:rsid w:val="00970CD3"/>
    <w:rsid w:val="00971329"/>
    <w:rsid w:val="00971E81"/>
    <w:rsid w:val="0097228A"/>
    <w:rsid w:val="00973364"/>
    <w:rsid w:val="00973462"/>
    <w:rsid w:val="0097385E"/>
    <w:rsid w:val="00974BCD"/>
    <w:rsid w:val="00976BD9"/>
    <w:rsid w:val="00981E61"/>
    <w:rsid w:val="009841CD"/>
    <w:rsid w:val="00984CE8"/>
    <w:rsid w:val="0098671D"/>
    <w:rsid w:val="0098790D"/>
    <w:rsid w:val="00987D5A"/>
    <w:rsid w:val="00991BA7"/>
    <w:rsid w:val="00994E6E"/>
    <w:rsid w:val="00996E9D"/>
    <w:rsid w:val="009972DB"/>
    <w:rsid w:val="009A0B80"/>
    <w:rsid w:val="009A0BE7"/>
    <w:rsid w:val="009A526E"/>
    <w:rsid w:val="009B07DE"/>
    <w:rsid w:val="009B2374"/>
    <w:rsid w:val="009B3907"/>
    <w:rsid w:val="009B46CB"/>
    <w:rsid w:val="009B559F"/>
    <w:rsid w:val="009B5F54"/>
    <w:rsid w:val="009B643C"/>
    <w:rsid w:val="009B66B3"/>
    <w:rsid w:val="009B79CD"/>
    <w:rsid w:val="009C0904"/>
    <w:rsid w:val="009C1202"/>
    <w:rsid w:val="009C2AC8"/>
    <w:rsid w:val="009C469E"/>
    <w:rsid w:val="009C54DD"/>
    <w:rsid w:val="009C579A"/>
    <w:rsid w:val="009C5EE8"/>
    <w:rsid w:val="009C6756"/>
    <w:rsid w:val="009D057B"/>
    <w:rsid w:val="009D1BE5"/>
    <w:rsid w:val="009D25C4"/>
    <w:rsid w:val="009D45DC"/>
    <w:rsid w:val="009E2349"/>
    <w:rsid w:val="009E747B"/>
    <w:rsid w:val="009E77D2"/>
    <w:rsid w:val="009F3DFE"/>
    <w:rsid w:val="009F4557"/>
    <w:rsid w:val="009F4A9B"/>
    <w:rsid w:val="009F64E2"/>
    <w:rsid w:val="00A00230"/>
    <w:rsid w:val="00A00E2B"/>
    <w:rsid w:val="00A010FD"/>
    <w:rsid w:val="00A02689"/>
    <w:rsid w:val="00A05CE4"/>
    <w:rsid w:val="00A05E38"/>
    <w:rsid w:val="00A14AD6"/>
    <w:rsid w:val="00A15D9D"/>
    <w:rsid w:val="00A1711D"/>
    <w:rsid w:val="00A177CD"/>
    <w:rsid w:val="00A20FD2"/>
    <w:rsid w:val="00A21D58"/>
    <w:rsid w:val="00A234D3"/>
    <w:rsid w:val="00A239E7"/>
    <w:rsid w:val="00A25C02"/>
    <w:rsid w:val="00A25C48"/>
    <w:rsid w:val="00A34609"/>
    <w:rsid w:val="00A40E5C"/>
    <w:rsid w:val="00A41450"/>
    <w:rsid w:val="00A42113"/>
    <w:rsid w:val="00A429FD"/>
    <w:rsid w:val="00A440B4"/>
    <w:rsid w:val="00A44898"/>
    <w:rsid w:val="00A44E11"/>
    <w:rsid w:val="00A46D73"/>
    <w:rsid w:val="00A4718F"/>
    <w:rsid w:val="00A55CF5"/>
    <w:rsid w:val="00A60842"/>
    <w:rsid w:val="00A609B3"/>
    <w:rsid w:val="00A65F2A"/>
    <w:rsid w:val="00A6654E"/>
    <w:rsid w:val="00A6656F"/>
    <w:rsid w:val="00A66815"/>
    <w:rsid w:val="00A66C57"/>
    <w:rsid w:val="00A71F4B"/>
    <w:rsid w:val="00A727F1"/>
    <w:rsid w:val="00A75778"/>
    <w:rsid w:val="00A76682"/>
    <w:rsid w:val="00A76CB8"/>
    <w:rsid w:val="00A77BB5"/>
    <w:rsid w:val="00A8077D"/>
    <w:rsid w:val="00A827AB"/>
    <w:rsid w:val="00A82CB7"/>
    <w:rsid w:val="00A846F7"/>
    <w:rsid w:val="00A8711B"/>
    <w:rsid w:val="00A91739"/>
    <w:rsid w:val="00A92279"/>
    <w:rsid w:val="00A9309F"/>
    <w:rsid w:val="00A9543D"/>
    <w:rsid w:val="00A96B2B"/>
    <w:rsid w:val="00A96EF8"/>
    <w:rsid w:val="00AA0410"/>
    <w:rsid w:val="00AA1CD5"/>
    <w:rsid w:val="00AA26DF"/>
    <w:rsid w:val="00AA2A6F"/>
    <w:rsid w:val="00AA3EDA"/>
    <w:rsid w:val="00AA51E9"/>
    <w:rsid w:val="00AA6AE1"/>
    <w:rsid w:val="00AB14B8"/>
    <w:rsid w:val="00AB3C8D"/>
    <w:rsid w:val="00AB4935"/>
    <w:rsid w:val="00AB69BE"/>
    <w:rsid w:val="00AC0DBB"/>
    <w:rsid w:val="00AC1BDD"/>
    <w:rsid w:val="00AC2AF0"/>
    <w:rsid w:val="00AC565C"/>
    <w:rsid w:val="00AC5D52"/>
    <w:rsid w:val="00AC6B50"/>
    <w:rsid w:val="00AC7265"/>
    <w:rsid w:val="00AD168D"/>
    <w:rsid w:val="00AD2A08"/>
    <w:rsid w:val="00AD412F"/>
    <w:rsid w:val="00AD42CD"/>
    <w:rsid w:val="00AD6D83"/>
    <w:rsid w:val="00AE0296"/>
    <w:rsid w:val="00AE029F"/>
    <w:rsid w:val="00AE13BD"/>
    <w:rsid w:val="00AE345F"/>
    <w:rsid w:val="00AE46C6"/>
    <w:rsid w:val="00AE5616"/>
    <w:rsid w:val="00AE6290"/>
    <w:rsid w:val="00AE6622"/>
    <w:rsid w:val="00AE74C3"/>
    <w:rsid w:val="00AE75BC"/>
    <w:rsid w:val="00AF2841"/>
    <w:rsid w:val="00AF28D3"/>
    <w:rsid w:val="00AF346D"/>
    <w:rsid w:val="00AF3B4D"/>
    <w:rsid w:val="00AF3B5F"/>
    <w:rsid w:val="00AF3C4B"/>
    <w:rsid w:val="00AF547A"/>
    <w:rsid w:val="00AF5B2F"/>
    <w:rsid w:val="00B012D5"/>
    <w:rsid w:val="00B016BF"/>
    <w:rsid w:val="00B017FA"/>
    <w:rsid w:val="00B04198"/>
    <w:rsid w:val="00B0477B"/>
    <w:rsid w:val="00B0708B"/>
    <w:rsid w:val="00B124ED"/>
    <w:rsid w:val="00B13186"/>
    <w:rsid w:val="00B13BBA"/>
    <w:rsid w:val="00B13C3F"/>
    <w:rsid w:val="00B162C3"/>
    <w:rsid w:val="00B17BB1"/>
    <w:rsid w:val="00B207FF"/>
    <w:rsid w:val="00B2277A"/>
    <w:rsid w:val="00B230C5"/>
    <w:rsid w:val="00B23102"/>
    <w:rsid w:val="00B24428"/>
    <w:rsid w:val="00B24907"/>
    <w:rsid w:val="00B270E9"/>
    <w:rsid w:val="00B3109C"/>
    <w:rsid w:val="00B31351"/>
    <w:rsid w:val="00B31D7D"/>
    <w:rsid w:val="00B32E4B"/>
    <w:rsid w:val="00B345B9"/>
    <w:rsid w:val="00B40C6B"/>
    <w:rsid w:val="00B411DF"/>
    <w:rsid w:val="00B42101"/>
    <w:rsid w:val="00B4228C"/>
    <w:rsid w:val="00B42ECF"/>
    <w:rsid w:val="00B4340E"/>
    <w:rsid w:val="00B44494"/>
    <w:rsid w:val="00B4764B"/>
    <w:rsid w:val="00B50B9E"/>
    <w:rsid w:val="00B50BE6"/>
    <w:rsid w:val="00B51476"/>
    <w:rsid w:val="00B53E41"/>
    <w:rsid w:val="00B57118"/>
    <w:rsid w:val="00B57625"/>
    <w:rsid w:val="00B62A2D"/>
    <w:rsid w:val="00B633A7"/>
    <w:rsid w:val="00B64325"/>
    <w:rsid w:val="00B6499E"/>
    <w:rsid w:val="00B712C3"/>
    <w:rsid w:val="00B7137B"/>
    <w:rsid w:val="00B73099"/>
    <w:rsid w:val="00B73847"/>
    <w:rsid w:val="00B74064"/>
    <w:rsid w:val="00B755FE"/>
    <w:rsid w:val="00B77C99"/>
    <w:rsid w:val="00B808AB"/>
    <w:rsid w:val="00B815B4"/>
    <w:rsid w:val="00B82961"/>
    <w:rsid w:val="00B82EA0"/>
    <w:rsid w:val="00B87785"/>
    <w:rsid w:val="00B902B6"/>
    <w:rsid w:val="00B90F10"/>
    <w:rsid w:val="00B94D28"/>
    <w:rsid w:val="00B95FFB"/>
    <w:rsid w:val="00B96110"/>
    <w:rsid w:val="00B96607"/>
    <w:rsid w:val="00B9671A"/>
    <w:rsid w:val="00B96F08"/>
    <w:rsid w:val="00BA0F0C"/>
    <w:rsid w:val="00BA2260"/>
    <w:rsid w:val="00BA2FD8"/>
    <w:rsid w:val="00BA3A82"/>
    <w:rsid w:val="00BA4ED9"/>
    <w:rsid w:val="00BA5186"/>
    <w:rsid w:val="00BA74FD"/>
    <w:rsid w:val="00BB1639"/>
    <w:rsid w:val="00BB1F2F"/>
    <w:rsid w:val="00BB2800"/>
    <w:rsid w:val="00BB2B3D"/>
    <w:rsid w:val="00BB6C21"/>
    <w:rsid w:val="00BB7D5A"/>
    <w:rsid w:val="00BC1635"/>
    <w:rsid w:val="00BC2763"/>
    <w:rsid w:val="00BC3D6B"/>
    <w:rsid w:val="00BC4198"/>
    <w:rsid w:val="00BC4765"/>
    <w:rsid w:val="00BC5812"/>
    <w:rsid w:val="00BC7F10"/>
    <w:rsid w:val="00BD02EF"/>
    <w:rsid w:val="00BD0DD5"/>
    <w:rsid w:val="00BD37DE"/>
    <w:rsid w:val="00BD3E7B"/>
    <w:rsid w:val="00BD451E"/>
    <w:rsid w:val="00BD61B3"/>
    <w:rsid w:val="00BE1493"/>
    <w:rsid w:val="00BE174A"/>
    <w:rsid w:val="00BE3FD7"/>
    <w:rsid w:val="00BE620D"/>
    <w:rsid w:val="00BE630D"/>
    <w:rsid w:val="00BE7430"/>
    <w:rsid w:val="00BF0215"/>
    <w:rsid w:val="00BF063F"/>
    <w:rsid w:val="00BF06E5"/>
    <w:rsid w:val="00BF2960"/>
    <w:rsid w:val="00BF2FE9"/>
    <w:rsid w:val="00BF374D"/>
    <w:rsid w:val="00BF4C4B"/>
    <w:rsid w:val="00BF5CEE"/>
    <w:rsid w:val="00C00516"/>
    <w:rsid w:val="00C06E8E"/>
    <w:rsid w:val="00C07F4F"/>
    <w:rsid w:val="00C11658"/>
    <w:rsid w:val="00C11E32"/>
    <w:rsid w:val="00C128DB"/>
    <w:rsid w:val="00C12D23"/>
    <w:rsid w:val="00C150D9"/>
    <w:rsid w:val="00C16104"/>
    <w:rsid w:val="00C30547"/>
    <w:rsid w:val="00C30AA3"/>
    <w:rsid w:val="00C32E4B"/>
    <w:rsid w:val="00C3388E"/>
    <w:rsid w:val="00C33926"/>
    <w:rsid w:val="00C3555A"/>
    <w:rsid w:val="00C403DC"/>
    <w:rsid w:val="00C45F7B"/>
    <w:rsid w:val="00C46AB2"/>
    <w:rsid w:val="00C51CC5"/>
    <w:rsid w:val="00C51D02"/>
    <w:rsid w:val="00C5206B"/>
    <w:rsid w:val="00C5290F"/>
    <w:rsid w:val="00C53C9F"/>
    <w:rsid w:val="00C5621C"/>
    <w:rsid w:val="00C565C5"/>
    <w:rsid w:val="00C61A6C"/>
    <w:rsid w:val="00C63379"/>
    <w:rsid w:val="00C64452"/>
    <w:rsid w:val="00C64AF6"/>
    <w:rsid w:val="00C64F36"/>
    <w:rsid w:val="00C65191"/>
    <w:rsid w:val="00C653D3"/>
    <w:rsid w:val="00C6562B"/>
    <w:rsid w:val="00C67729"/>
    <w:rsid w:val="00C67C6F"/>
    <w:rsid w:val="00C74AEF"/>
    <w:rsid w:val="00C755E5"/>
    <w:rsid w:val="00C82817"/>
    <w:rsid w:val="00C8367E"/>
    <w:rsid w:val="00C838CD"/>
    <w:rsid w:val="00C84380"/>
    <w:rsid w:val="00C84468"/>
    <w:rsid w:val="00C859A6"/>
    <w:rsid w:val="00C86EB6"/>
    <w:rsid w:val="00C91139"/>
    <w:rsid w:val="00C92B93"/>
    <w:rsid w:val="00C94D56"/>
    <w:rsid w:val="00C94FC9"/>
    <w:rsid w:val="00C96BC7"/>
    <w:rsid w:val="00C97255"/>
    <w:rsid w:val="00CA3BB9"/>
    <w:rsid w:val="00CA406C"/>
    <w:rsid w:val="00CA423B"/>
    <w:rsid w:val="00CA7E29"/>
    <w:rsid w:val="00CA7F97"/>
    <w:rsid w:val="00CB0031"/>
    <w:rsid w:val="00CB31C0"/>
    <w:rsid w:val="00CB3510"/>
    <w:rsid w:val="00CB3CE5"/>
    <w:rsid w:val="00CB3E7D"/>
    <w:rsid w:val="00CB4A45"/>
    <w:rsid w:val="00CB4B55"/>
    <w:rsid w:val="00CB4FB1"/>
    <w:rsid w:val="00CB5407"/>
    <w:rsid w:val="00CB6D69"/>
    <w:rsid w:val="00CB7B6D"/>
    <w:rsid w:val="00CC0AAD"/>
    <w:rsid w:val="00CC19D9"/>
    <w:rsid w:val="00CC4D69"/>
    <w:rsid w:val="00CC56D1"/>
    <w:rsid w:val="00CC64BA"/>
    <w:rsid w:val="00CC7115"/>
    <w:rsid w:val="00CD0266"/>
    <w:rsid w:val="00CD0EA5"/>
    <w:rsid w:val="00CD1313"/>
    <w:rsid w:val="00CD3312"/>
    <w:rsid w:val="00CD4E73"/>
    <w:rsid w:val="00CD69CF"/>
    <w:rsid w:val="00CD7A3D"/>
    <w:rsid w:val="00CE09F1"/>
    <w:rsid w:val="00CE292B"/>
    <w:rsid w:val="00CE3D4F"/>
    <w:rsid w:val="00CE40D0"/>
    <w:rsid w:val="00CE703E"/>
    <w:rsid w:val="00CF405F"/>
    <w:rsid w:val="00CF6DBB"/>
    <w:rsid w:val="00CF7B17"/>
    <w:rsid w:val="00D1102D"/>
    <w:rsid w:val="00D12227"/>
    <w:rsid w:val="00D1346C"/>
    <w:rsid w:val="00D135CD"/>
    <w:rsid w:val="00D136A9"/>
    <w:rsid w:val="00D1417F"/>
    <w:rsid w:val="00D167F2"/>
    <w:rsid w:val="00D170C1"/>
    <w:rsid w:val="00D1751B"/>
    <w:rsid w:val="00D17EF3"/>
    <w:rsid w:val="00D231FC"/>
    <w:rsid w:val="00D24F61"/>
    <w:rsid w:val="00D252FA"/>
    <w:rsid w:val="00D31CB6"/>
    <w:rsid w:val="00D31E8A"/>
    <w:rsid w:val="00D330F5"/>
    <w:rsid w:val="00D34644"/>
    <w:rsid w:val="00D34989"/>
    <w:rsid w:val="00D364F5"/>
    <w:rsid w:val="00D4477A"/>
    <w:rsid w:val="00D457A8"/>
    <w:rsid w:val="00D470AD"/>
    <w:rsid w:val="00D505A7"/>
    <w:rsid w:val="00D51870"/>
    <w:rsid w:val="00D51954"/>
    <w:rsid w:val="00D54619"/>
    <w:rsid w:val="00D563A4"/>
    <w:rsid w:val="00D635BB"/>
    <w:rsid w:val="00D65484"/>
    <w:rsid w:val="00D668CA"/>
    <w:rsid w:val="00D67240"/>
    <w:rsid w:val="00D67441"/>
    <w:rsid w:val="00D71BDA"/>
    <w:rsid w:val="00D727FF"/>
    <w:rsid w:val="00D73397"/>
    <w:rsid w:val="00D73B7F"/>
    <w:rsid w:val="00D74361"/>
    <w:rsid w:val="00D7688E"/>
    <w:rsid w:val="00D76A36"/>
    <w:rsid w:val="00D800A5"/>
    <w:rsid w:val="00D8037A"/>
    <w:rsid w:val="00D8118F"/>
    <w:rsid w:val="00D829EB"/>
    <w:rsid w:val="00D83C57"/>
    <w:rsid w:val="00D86512"/>
    <w:rsid w:val="00D905D6"/>
    <w:rsid w:val="00D91431"/>
    <w:rsid w:val="00D92D0A"/>
    <w:rsid w:val="00D93281"/>
    <w:rsid w:val="00D93872"/>
    <w:rsid w:val="00D95CC0"/>
    <w:rsid w:val="00DA1154"/>
    <w:rsid w:val="00DA1282"/>
    <w:rsid w:val="00DA3111"/>
    <w:rsid w:val="00DA3E75"/>
    <w:rsid w:val="00DB24A7"/>
    <w:rsid w:val="00DB27B9"/>
    <w:rsid w:val="00DB27E3"/>
    <w:rsid w:val="00DB4744"/>
    <w:rsid w:val="00DB4FC1"/>
    <w:rsid w:val="00DB53FD"/>
    <w:rsid w:val="00DB63E6"/>
    <w:rsid w:val="00DB6C8E"/>
    <w:rsid w:val="00DC01A2"/>
    <w:rsid w:val="00DC1388"/>
    <w:rsid w:val="00DC1FB7"/>
    <w:rsid w:val="00DC4118"/>
    <w:rsid w:val="00DC41D9"/>
    <w:rsid w:val="00DC7461"/>
    <w:rsid w:val="00DD357A"/>
    <w:rsid w:val="00DD4EB1"/>
    <w:rsid w:val="00DD6869"/>
    <w:rsid w:val="00DD7376"/>
    <w:rsid w:val="00DE034A"/>
    <w:rsid w:val="00DE1057"/>
    <w:rsid w:val="00DE1434"/>
    <w:rsid w:val="00DE2F9C"/>
    <w:rsid w:val="00DF1DB0"/>
    <w:rsid w:val="00DF2BC4"/>
    <w:rsid w:val="00DF6D1F"/>
    <w:rsid w:val="00E02C5A"/>
    <w:rsid w:val="00E03402"/>
    <w:rsid w:val="00E11E84"/>
    <w:rsid w:val="00E13539"/>
    <w:rsid w:val="00E1431E"/>
    <w:rsid w:val="00E15185"/>
    <w:rsid w:val="00E21CBA"/>
    <w:rsid w:val="00E22C9C"/>
    <w:rsid w:val="00E2328C"/>
    <w:rsid w:val="00E25364"/>
    <w:rsid w:val="00E256C5"/>
    <w:rsid w:val="00E2587E"/>
    <w:rsid w:val="00E30749"/>
    <w:rsid w:val="00E32321"/>
    <w:rsid w:val="00E341F0"/>
    <w:rsid w:val="00E34D3E"/>
    <w:rsid w:val="00E3739E"/>
    <w:rsid w:val="00E377B6"/>
    <w:rsid w:val="00E4019A"/>
    <w:rsid w:val="00E4042E"/>
    <w:rsid w:val="00E41D42"/>
    <w:rsid w:val="00E41DD3"/>
    <w:rsid w:val="00E4551D"/>
    <w:rsid w:val="00E4791A"/>
    <w:rsid w:val="00E509F8"/>
    <w:rsid w:val="00E532BF"/>
    <w:rsid w:val="00E55224"/>
    <w:rsid w:val="00E62BB1"/>
    <w:rsid w:val="00E6713B"/>
    <w:rsid w:val="00E676DC"/>
    <w:rsid w:val="00E71F9F"/>
    <w:rsid w:val="00E72601"/>
    <w:rsid w:val="00E72612"/>
    <w:rsid w:val="00E730B8"/>
    <w:rsid w:val="00E7480C"/>
    <w:rsid w:val="00E8522B"/>
    <w:rsid w:val="00E857BE"/>
    <w:rsid w:val="00E87431"/>
    <w:rsid w:val="00E87C01"/>
    <w:rsid w:val="00E90D22"/>
    <w:rsid w:val="00E92FBF"/>
    <w:rsid w:val="00E95A6D"/>
    <w:rsid w:val="00E976F1"/>
    <w:rsid w:val="00EA1D9B"/>
    <w:rsid w:val="00EA20D2"/>
    <w:rsid w:val="00EA4C3C"/>
    <w:rsid w:val="00EA75B7"/>
    <w:rsid w:val="00EB2223"/>
    <w:rsid w:val="00EB3AA5"/>
    <w:rsid w:val="00EB7515"/>
    <w:rsid w:val="00EC1351"/>
    <w:rsid w:val="00EC162C"/>
    <w:rsid w:val="00EC198E"/>
    <w:rsid w:val="00EC1C52"/>
    <w:rsid w:val="00EC27E3"/>
    <w:rsid w:val="00ED0411"/>
    <w:rsid w:val="00ED0CC9"/>
    <w:rsid w:val="00ED0D99"/>
    <w:rsid w:val="00ED3FDA"/>
    <w:rsid w:val="00ED518A"/>
    <w:rsid w:val="00ED6216"/>
    <w:rsid w:val="00ED7F7E"/>
    <w:rsid w:val="00EE077E"/>
    <w:rsid w:val="00EE205A"/>
    <w:rsid w:val="00EE2AB7"/>
    <w:rsid w:val="00EE3F46"/>
    <w:rsid w:val="00EE4304"/>
    <w:rsid w:val="00EE6563"/>
    <w:rsid w:val="00EF1FB0"/>
    <w:rsid w:val="00EF4674"/>
    <w:rsid w:val="00EF4ED7"/>
    <w:rsid w:val="00EF7FCE"/>
    <w:rsid w:val="00F01427"/>
    <w:rsid w:val="00F01F96"/>
    <w:rsid w:val="00F05101"/>
    <w:rsid w:val="00F0648A"/>
    <w:rsid w:val="00F101B0"/>
    <w:rsid w:val="00F1524F"/>
    <w:rsid w:val="00F153ED"/>
    <w:rsid w:val="00F23765"/>
    <w:rsid w:val="00F2451A"/>
    <w:rsid w:val="00F2658D"/>
    <w:rsid w:val="00F26936"/>
    <w:rsid w:val="00F276A4"/>
    <w:rsid w:val="00F3041F"/>
    <w:rsid w:val="00F339BB"/>
    <w:rsid w:val="00F357F5"/>
    <w:rsid w:val="00F36F79"/>
    <w:rsid w:val="00F41249"/>
    <w:rsid w:val="00F43840"/>
    <w:rsid w:val="00F445A8"/>
    <w:rsid w:val="00F4788E"/>
    <w:rsid w:val="00F47D99"/>
    <w:rsid w:val="00F504A6"/>
    <w:rsid w:val="00F5151F"/>
    <w:rsid w:val="00F52521"/>
    <w:rsid w:val="00F52E8A"/>
    <w:rsid w:val="00F53656"/>
    <w:rsid w:val="00F536D3"/>
    <w:rsid w:val="00F53B7B"/>
    <w:rsid w:val="00F53C4B"/>
    <w:rsid w:val="00F5417A"/>
    <w:rsid w:val="00F5433E"/>
    <w:rsid w:val="00F553EF"/>
    <w:rsid w:val="00F55D3B"/>
    <w:rsid w:val="00F6000F"/>
    <w:rsid w:val="00F61723"/>
    <w:rsid w:val="00F6395C"/>
    <w:rsid w:val="00F67B88"/>
    <w:rsid w:val="00F70086"/>
    <w:rsid w:val="00F70832"/>
    <w:rsid w:val="00F70B38"/>
    <w:rsid w:val="00F71006"/>
    <w:rsid w:val="00F71458"/>
    <w:rsid w:val="00F807D3"/>
    <w:rsid w:val="00F80C15"/>
    <w:rsid w:val="00F817D2"/>
    <w:rsid w:val="00F81D63"/>
    <w:rsid w:val="00F8256B"/>
    <w:rsid w:val="00F82A84"/>
    <w:rsid w:val="00F83322"/>
    <w:rsid w:val="00F83E89"/>
    <w:rsid w:val="00F9056F"/>
    <w:rsid w:val="00F91077"/>
    <w:rsid w:val="00F91724"/>
    <w:rsid w:val="00F92B37"/>
    <w:rsid w:val="00F93066"/>
    <w:rsid w:val="00F95F49"/>
    <w:rsid w:val="00FA0F62"/>
    <w:rsid w:val="00FA35B3"/>
    <w:rsid w:val="00FA3616"/>
    <w:rsid w:val="00FA5AF2"/>
    <w:rsid w:val="00FB078B"/>
    <w:rsid w:val="00FB0C74"/>
    <w:rsid w:val="00FB15AC"/>
    <w:rsid w:val="00FB1B0E"/>
    <w:rsid w:val="00FB1B86"/>
    <w:rsid w:val="00FB1D40"/>
    <w:rsid w:val="00FC1FE3"/>
    <w:rsid w:val="00FC2130"/>
    <w:rsid w:val="00FC286A"/>
    <w:rsid w:val="00FC3569"/>
    <w:rsid w:val="00FC52B1"/>
    <w:rsid w:val="00FC6899"/>
    <w:rsid w:val="00FD14AC"/>
    <w:rsid w:val="00FD2480"/>
    <w:rsid w:val="00FD43EC"/>
    <w:rsid w:val="00FD4FD3"/>
    <w:rsid w:val="00FD50D3"/>
    <w:rsid w:val="00FD7376"/>
    <w:rsid w:val="00FE22C6"/>
    <w:rsid w:val="00FE45ED"/>
    <w:rsid w:val="00FE4817"/>
    <w:rsid w:val="00FE5699"/>
    <w:rsid w:val="00FE5A9B"/>
    <w:rsid w:val="00FE69E5"/>
    <w:rsid w:val="00FF3375"/>
    <w:rsid w:val="00FF38E7"/>
    <w:rsid w:val="00FF5714"/>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E4E4E"/>
  <w15:chartTrackingRefBased/>
  <w15:docId w15:val="{E0305E0B-6170-4208-B3B2-B111488F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D69"/>
    <w:pPr>
      <w:spacing w:after="180" w:line="264" w:lineRule="auto"/>
    </w:pPr>
    <w:rPr>
      <w:rFonts w:ascii="Times New Roman" w:hAnsi="Times New Roman"/>
      <w:sz w:val="24"/>
    </w:rPr>
  </w:style>
  <w:style w:type="paragraph" w:styleId="Heading1">
    <w:name w:val="heading 1"/>
    <w:basedOn w:val="Normal"/>
    <w:next w:val="Normal"/>
    <w:link w:val="Heading1Char"/>
    <w:uiPriority w:val="9"/>
    <w:qFormat/>
    <w:rsid w:val="008E1E5D"/>
    <w:pPr>
      <w:keepNext/>
      <w:keepLines/>
      <w:numPr>
        <w:numId w:val="14"/>
      </w:numPr>
      <w:spacing w:before="360" w:after="120" w:line="240" w:lineRule="auto"/>
      <w:outlineLvl w:val="0"/>
    </w:pPr>
    <w:rPr>
      <w:rFonts w:ascii="Times New Roman Bold" w:eastAsiaTheme="majorEastAsia" w:hAnsi="Times New Roman Bold" w:cstheme="majorBidi"/>
      <w:b/>
      <w:caps/>
      <w:color w:val="002060"/>
      <w:sz w:val="32"/>
      <w:szCs w:val="32"/>
    </w:rPr>
  </w:style>
  <w:style w:type="paragraph" w:styleId="Heading2">
    <w:name w:val="heading 2"/>
    <w:basedOn w:val="Normal"/>
    <w:next w:val="Normal"/>
    <w:link w:val="Heading2Char"/>
    <w:uiPriority w:val="9"/>
    <w:unhideWhenUsed/>
    <w:qFormat/>
    <w:rsid w:val="008E1E5D"/>
    <w:pPr>
      <w:keepNext/>
      <w:keepLines/>
      <w:numPr>
        <w:ilvl w:val="1"/>
        <w:numId w:val="14"/>
      </w:numPr>
      <w:spacing w:after="240" w:line="240" w:lineRule="auto"/>
      <w:outlineLvl w:val="1"/>
    </w:pPr>
    <w:rPr>
      <w:rFonts w:ascii="Times New Roman Bold" w:eastAsiaTheme="majorEastAsia" w:hAnsi="Times New Roman Bold" w:cstheme="majorBidi"/>
      <w:b/>
      <w:smallCaps/>
      <w:color w:val="002060"/>
      <w:sz w:val="32"/>
      <w:szCs w:val="26"/>
    </w:rPr>
  </w:style>
  <w:style w:type="paragraph" w:styleId="Heading3">
    <w:name w:val="heading 3"/>
    <w:basedOn w:val="Normal"/>
    <w:next w:val="Normal"/>
    <w:link w:val="Heading3Char"/>
    <w:uiPriority w:val="9"/>
    <w:unhideWhenUsed/>
    <w:qFormat/>
    <w:rsid w:val="008E1E5D"/>
    <w:pPr>
      <w:keepNext/>
      <w:keepLines/>
      <w:numPr>
        <w:ilvl w:val="2"/>
        <w:numId w:val="14"/>
      </w:numPr>
      <w:spacing w:after="120" w:line="240" w:lineRule="auto"/>
      <w:outlineLvl w:val="2"/>
    </w:pPr>
    <w:rPr>
      <w:rFonts w:eastAsiaTheme="majorEastAsia" w:cstheme="majorBidi"/>
      <w:b/>
      <w:color w:val="002060"/>
      <w:szCs w:val="24"/>
    </w:rPr>
  </w:style>
  <w:style w:type="paragraph" w:styleId="Heading4">
    <w:name w:val="heading 4"/>
    <w:basedOn w:val="Normal"/>
    <w:next w:val="Normal"/>
    <w:link w:val="Heading4Char"/>
    <w:uiPriority w:val="9"/>
    <w:unhideWhenUsed/>
    <w:qFormat/>
    <w:rsid w:val="00861F03"/>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1F03"/>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61F03"/>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61F03"/>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61F03"/>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1F03"/>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12"/>
    <w:rPr>
      <w:rFonts w:ascii="Times New Roman" w:hAnsi="Times New Roman"/>
      <w:sz w:val="24"/>
    </w:rPr>
  </w:style>
  <w:style w:type="paragraph" w:styleId="Footer">
    <w:name w:val="footer"/>
    <w:basedOn w:val="Normal"/>
    <w:link w:val="FooterChar"/>
    <w:uiPriority w:val="99"/>
    <w:unhideWhenUsed/>
    <w:rsid w:val="00E72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12"/>
    <w:rPr>
      <w:rFonts w:ascii="Times New Roman" w:hAnsi="Times New Roman"/>
      <w:sz w:val="24"/>
    </w:rPr>
  </w:style>
  <w:style w:type="character" w:customStyle="1" w:styleId="Heading1Char">
    <w:name w:val="Heading 1 Char"/>
    <w:basedOn w:val="DefaultParagraphFont"/>
    <w:link w:val="Heading1"/>
    <w:uiPriority w:val="9"/>
    <w:rsid w:val="008E1E5D"/>
    <w:rPr>
      <w:rFonts w:ascii="Times New Roman Bold" w:eastAsiaTheme="majorEastAsia" w:hAnsi="Times New Roman Bold" w:cstheme="majorBidi"/>
      <w:b/>
      <w:caps/>
      <w:color w:val="002060"/>
      <w:sz w:val="32"/>
      <w:szCs w:val="32"/>
    </w:rPr>
  </w:style>
  <w:style w:type="character" w:customStyle="1" w:styleId="Heading2Char">
    <w:name w:val="Heading 2 Char"/>
    <w:basedOn w:val="DefaultParagraphFont"/>
    <w:link w:val="Heading2"/>
    <w:uiPriority w:val="9"/>
    <w:rsid w:val="008E1E5D"/>
    <w:rPr>
      <w:rFonts w:ascii="Times New Roman Bold" w:eastAsiaTheme="majorEastAsia" w:hAnsi="Times New Roman Bold" w:cstheme="majorBidi"/>
      <w:b/>
      <w:smallCaps/>
      <w:color w:val="002060"/>
      <w:sz w:val="32"/>
      <w:szCs w:val="26"/>
    </w:rPr>
  </w:style>
  <w:style w:type="character" w:customStyle="1" w:styleId="Heading3Char">
    <w:name w:val="Heading 3 Char"/>
    <w:basedOn w:val="DefaultParagraphFont"/>
    <w:link w:val="Heading3"/>
    <w:uiPriority w:val="9"/>
    <w:rsid w:val="008E1E5D"/>
    <w:rPr>
      <w:rFonts w:ascii="Times New Roman" w:eastAsiaTheme="majorEastAsia" w:hAnsi="Times New Roman" w:cstheme="majorBidi"/>
      <w:b/>
      <w:color w:val="002060"/>
      <w:sz w:val="24"/>
      <w:szCs w:val="24"/>
    </w:rPr>
  </w:style>
  <w:style w:type="character" w:customStyle="1" w:styleId="Heading4Char">
    <w:name w:val="Heading 4 Char"/>
    <w:basedOn w:val="DefaultParagraphFont"/>
    <w:link w:val="Heading4"/>
    <w:uiPriority w:val="9"/>
    <w:rsid w:val="00861F03"/>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861F03"/>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61F03"/>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61F03"/>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61F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1F03"/>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0F4167"/>
    <w:pPr>
      <w:numPr>
        <w:numId w:val="0"/>
      </w:numPr>
      <w:spacing w:line="259" w:lineRule="auto"/>
      <w:outlineLvl w:val="9"/>
    </w:pPr>
    <w:rPr>
      <w:rFonts w:asciiTheme="majorHAnsi" w:hAnsiTheme="majorHAnsi"/>
      <w:b w:val="0"/>
      <w:caps w:val="0"/>
      <w:color w:val="2F5496" w:themeColor="accent1" w:themeShade="BF"/>
      <w:kern w:val="0"/>
      <w14:ligatures w14:val="none"/>
    </w:rPr>
  </w:style>
  <w:style w:type="paragraph" w:styleId="TOC1">
    <w:name w:val="toc 1"/>
    <w:basedOn w:val="Normal"/>
    <w:next w:val="Normal"/>
    <w:autoRedefine/>
    <w:uiPriority w:val="39"/>
    <w:unhideWhenUsed/>
    <w:rsid w:val="00A8711B"/>
    <w:pPr>
      <w:keepNext/>
      <w:spacing w:after="100"/>
    </w:pPr>
  </w:style>
  <w:style w:type="paragraph" w:styleId="TOC2">
    <w:name w:val="toc 2"/>
    <w:basedOn w:val="Normal"/>
    <w:next w:val="Normal"/>
    <w:autoRedefine/>
    <w:uiPriority w:val="39"/>
    <w:unhideWhenUsed/>
    <w:rsid w:val="000F4167"/>
    <w:pPr>
      <w:spacing w:after="100"/>
      <w:ind w:left="240"/>
    </w:pPr>
  </w:style>
  <w:style w:type="character" w:styleId="Hyperlink">
    <w:name w:val="Hyperlink"/>
    <w:basedOn w:val="DefaultParagraphFont"/>
    <w:uiPriority w:val="99"/>
    <w:unhideWhenUsed/>
    <w:rsid w:val="000F4167"/>
    <w:rPr>
      <w:color w:val="0563C1" w:themeColor="hyperlink"/>
      <w:u w:val="single"/>
    </w:rPr>
  </w:style>
  <w:style w:type="table" w:styleId="TableGrid">
    <w:name w:val="Table Grid"/>
    <w:basedOn w:val="TableNormal"/>
    <w:uiPriority w:val="39"/>
    <w:rsid w:val="00B8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017FA"/>
    <w:pPr>
      <w:keepNext/>
      <w:jc w:val="center"/>
    </w:pPr>
    <w:rPr>
      <w:b/>
      <w:iCs/>
      <w:szCs w:val="18"/>
    </w:rPr>
  </w:style>
  <w:style w:type="paragraph" w:styleId="TableofFigures">
    <w:name w:val="table of figures"/>
    <w:basedOn w:val="Normal"/>
    <w:next w:val="Normal"/>
    <w:uiPriority w:val="99"/>
    <w:unhideWhenUsed/>
    <w:rsid w:val="00E377B6"/>
    <w:pPr>
      <w:spacing w:after="0"/>
    </w:pPr>
  </w:style>
  <w:style w:type="paragraph" w:styleId="FootnoteText">
    <w:name w:val="footnote text"/>
    <w:basedOn w:val="Normal"/>
    <w:link w:val="FootnoteTextChar"/>
    <w:uiPriority w:val="99"/>
    <w:semiHidden/>
    <w:unhideWhenUsed/>
    <w:rsid w:val="00520D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D76"/>
    <w:rPr>
      <w:rFonts w:ascii="Times New Roman" w:hAnsi="Times New Roman"/>
      <w:sz w:val="20"/>
      <w:szCs w:val="20"/>
    </w:rPr>
  </w:style>
  <w:style w:type="character" w:styleId="FootnoteReference">
    <w:name w:val="footnote reference"/>
    <w:basedOn w:val="DefaultParagraphFont"/>
    <w:uiPriority w:val="99"/>
    <w:semiHidden/>
    <w:unhideWhenUsed/>
    <w:rsid w:val="00520D76"/>
    <w:rPr>
      <w:vertAlign w:val="superscript"/>
    </w:rPr>
  </w:style>
  <w:style w:type="character" w:styleId="UnresolvedMention">
    <w:name w:val="Unresolved Mention"/>
    <w:basedOn w:val="DefaultParagraphFont"/>
    <w:uiPriority w:val="99"/>
    <w:semiHidden/>
    <w:unhideWhenUsed/>
    <w:rsid w:val="005D42CC"/>
    <w:rPr>
      <w:color w:val="605E5C"/>
      <w:shd w:val="clear" w:color="auto" w:fill="E1DFDD"/>
    </w:rPr>
  </w:style>
  <w:style w:type="paragraph" w:styleId="ListParagraph">
    <w:name w:val="List Paragraph"/>
    <w:basedOn w:val="Normal"/>
    <w:uiPriority w:val="34"/>
    <w:qFormat/>
    <w:rsid w:val="00130347"/>
    <w:pPr>
      <w:ind w:left="720"/>
      <w:contextualSpacing/>
    </w:pPr>
  </w:style>
  <w:style w:type="character" w:styleId="CommentReference">
    <w:name w:val="annotation reference"/>
    <w:basedOn w:val="DefaultParagraphFont"/>
    <w:uiPriority w:val="99"/>
    <w:semiHidden/>
    <w:unhideWhenUsed/>
    <w:rsid w:val="00E71F9F"/>
    <w:rPr>
      <w:sz w:val="16"/>
      <w:szCs w:val="16"/>
    </w:rPr>
  </w:style>
  <w:style w:type="paragraph" w:styleId="CommentText">
    <w:name w:val="annotation text"/>
    <w:basedOn w:val="Normal"/>
    <w:link w:val="CommentTextChar"/>
    <w:uiPriority w:val="99"/>
    <w:unhideWhenUsed/>
    <w:rsid w:val="00E71F9F"/>
    <w:pPr>
      <w:spacing w:line="240" w:lineRule="auto"/>
    </w:pPr>
    <w:rPr>
      <w:sz w:val="20"/>
      <w:szCs w:val="20"/>
    </w:rPr>
  </w:style>
  <w:style w:type="character" w:customStyle="1" w:styleId="CommentTextChar">
    <w:name w:val="Comment Text Char"/>
    <w:basedOn w:val="DefaultParagraphFont"/>
    <w:link w:val="CommentText"/>
    <w:uiPriority w:val="99"/>
    <w:rsid w:val="00E71F9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71F9F"/>
    <w:rPr>
      <w:b/>
      <w:bCs/>
    </w:rPr>
  </w:style>
  <w:style w:type="character" w:customStyle="1" w:styleId="CommentSubjectChar">
    <w:name w:val="Comment Subject Char"/>
    <w:basedOn w:val="CommentTextChar"/>
    <w:link w:val="CommentSubject"/>
    <w:uiPriority w:val="99"/>
    <w:semiHidden/>
    <w:rsid w:val="00E71F9F"/>
    <w:rPr>
      <w:rFonts w:ascii="Times New Roman" w:hAnsi="Times New Roman"/>
      <w:b/>
      <w:bCs/>
      <w:sz w:val="20"/>
      <w:szCs w:val="20"/>
    </w:rPr>
  </w:style>
  <w:style w:type="paragraph" w:styleId="TOC3">
    <w:name w:val="toc 3"/>
    <w:basedOn w:val="Normal"/>
    <w:next w:val="Normal"/>
    <w:autoRedefine/>
    <w:uiPriority w:val="39"/>
    <w:unhideWhenUsed/>
    <w:rsid w:val="00B230C5"/>
    <w:pPr>
      <w:spacing w:after="100"/>
      <w:ind w:left="480"/>
    </w:pPr>
  </w:style>
  <w:style w:type="character" w:customStyle="1" w:styleId="cf01">
    <w:name w:val="cf01"/>
    <w:basedOn w:val="DefaultParagraphFont"/>
    <w:rsid w:val="000233CF"/>
    <w:rPr>
      <w:rFonts w:ascii="Segoe UI" w:hAnsi="Segoe UI" w:cs="Segoe UI" w:hint="default"/>
      <w:sz w:val="18"/>
      <w:szCs w:val="18"/>
    </w:rPr>
  </w:style>
  <w:style w:type="character" w:styleId="FollowedHyperlink">
    <w:name w:val="FollowedHyperlink"/>
    <w:basedOn w:val="DefaultParagraphFont"/>
    <w:uiPriority w:val="99"/>
    <w:semiHidden/>
    <w:unhideWhenUsed/>
    <w:rsid w:val="000F06CB"/>
    <w:rPr>
      <w:color w:val="954F72" w:themeColor="followedHyperlink"/>
      <w:u w:val="single"/>
    </w:rPr>
  </w:style>
  <w:style w:type="paragraph" w:customStyle="1" w:styleId="Default">
    <w:name w:val="Default"/>
    <w:rsid w:val="00EE205A"/>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ko-KR"/>
      <w14:ligatures w14:val="none"/>
    </w:rPr>
  </w:style>
  <w:style w:type="paragraph" w:styleId="TOC4">
    <w:name w:val="toc 4"/>
    <w:basedOn w:val="Normal"/>
    <w:next w:val="Normal"/>
    <w:autoRedefine/>
    <w:uiPriority w:val="39"/>
    <w:unhideWhenUsed/>
    <w:rsid w:val="000B70FF"/>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0B70FF"/>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0B70FF"/>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0B70FF"/>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0B70FF"/>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0B70FF"/>
    <w:pPr>
      <w:spacing w:after="100" w:line="259" w:lineRule="auto"/>
      <w:ind w:left="1760"/>
    </w:pPr>
    <w:rPr>
      <w:rFonts w:asciiTheme="minorHAnsi" w:eastAsiaTheme="minorEastAsia" w:hAnsiTheme="minorHAnsi"/>
      <w:sz w:val="22"/>
    </w:rPr>
  </w:style>
  <w:style w:type="paragraph" w:styleId="Revision">
    <w:name w:val="Revision"/>
    <w:hidden/>
    <w:uiPriority w:val="99"/>
    <w:semiHidden/>
    <w:rsid w:val="00BE7430"/>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7E3AFA"/>
    <w:rPr>
      <w:color w:val="666666"/>
    </w:rPr>
  </w:style>
  <w:style w:type="character" w:customStyle="1" w:styleId="Style1">
    <w:name w:val="Style1"/>
    <w:basedOn w:val="DefaultParagraphFont"/>
    <w:uiPriority w:val="1"/>
    <w:rsid w:val="00B42101"/>
    <w:rPr>
      <w:b/>
      <w:color w:val="C00000"/>
    </w:rPr>
  </w:style>
  <w:style w:type="character" w:customStyle="1" w:styleId="Style2">
    <w:name w:val="Style2"/>
    <w:basedOn w:val="DefaultParagraphFont"/>
    <w:uiPriority w:val="1"/>
    <w:rsid w:val="00B42101"/>
    <w:rPr>
      <w:rFonts w:ascii="Times New Roman" w:hAnsi="Times New Roman"/>
      <w:b/>
      <w:color w:val="C00000"/>
      <w:sz w:val="24"/>
    </w:rPr>
  </w:style>
  <w:style w:type="paragraph" w:customStyle="1" w:styleId="Comment">
    <w:name w:val="Comment"/>
    <w:basedOn w:val="Normal"/>
    <w:qFormat/>
    <w:rsid w:val="00932EF0"/>
    <w:pPr>
      <w:spacing w:after="240" w:line="240" w:lineRule="auto"/>
      <w:ind w:left="270" w:hanging="90"/>
      <w:contextualSpacing/>
    </w:pPr>
    <w:rPr>
      <w:rFonts w:ascii="Segoe UI" w:eastAsia="Times New Roman" w:hAnsi="Segoe UI" w:cs="Segoe UI"/>
      <w:color w:val="000000"/>
      <w:kern w:val="0"/>
      <w:sz w:val="20"/>
      <w:szCs w:val="20"/>
      <w14:ligatures w14:val="none"/>
    </w:rPr>
  </w:style>
  <w:style w:type="table" w:customStyle="1" w:styleId="TTITable">
    <w:name w:val="TTI Table"/>
    <w:basedOn w:val="TableGrid"/>
    <w:uiPriority w:val="99"/>
    <w:rsid w:val="00932EF0"/>
    <w:pPr>
      <w:keepNext/>
      <w:jc w:val="center"/>
    </w:pPr>
    <w:rPr>
      <w:rFonts w:ascii="Segoe UI" w:eastAsia="SimSun" w:hAnsi="Segoe UI"/>
      <w:color w:val="000000" w:themeColor="text1"/>
      <w:kern w:val="0"/>
      <w:sz w:val="20"/>
      <w:szCs w:val="20"/>
      <w14:ligatures w14:val="none"/>
    </w:rPr>
    <w:tblPr>
      <w:jc w:val="center"/>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
    <w:trPr>
      <w:cantSplit/>
      <w:jc w:val="center"/>
    </w:trPr>
    <w:tcPr>
      <w:vAlign w:val="center"/>
    </w:tcPr>
    <w:tblStylePr w:type="firstRow">
      <w:pPr>
        <w:jc w:val="center"/>
      </w:pPr>
      <w:rPr>
        <w:rFonts w:ascii="Segoe UI Historic" w:hAnsi="Segoe UI Historic"/>
        <w:b/>
        <w:bCs/>
        <w:color w:val="FFFFFF" w:themeColor="background1"/>
        <w:sz w:val="20"/>
      </w:rPr>
      <w:tblPr/>
      <w:trPr>
        <w:tblHeader/>
      </w:trPr>
      <w:tcPr>
        <w:tcBorders>
          <w:top w:val="nil"/>
          <w:left w:val="nil"/>
          <w:bottom w:val="nil"/>
          <w:right w:val="nil"/>
          <w:insideH w:val="nil"/>
          <w:insideV w:val="single" w:sz="4" w:space="0" w:color="FFFFFF" w:themeColor="background1"/>
          <w:tl2br w:val="nil"/>
          <w:tr2bl w:val="nil"/>
        </w:tcBorders>
        <w:shd w:val="clear" w:color="auto" w:fill="1F497D"/>
      </w:tcPr>
    </w:tblStylePr>
    <w:tblStylePr w:type="lastRow">
      <w:rPr>
        <w:b w:val="0"/>
        <w:bCs/>
      </w:rPr>
      <w:tblPr/>
      <w:tcPr>
        <w:tcBorders>
          <w:top w:val="single" w:sz="6" w:space="0" w:color="000000"/>
          <w:tl2br w:val="none" w:sz="0" w:space="0" w:color="auto"/>
          <w:tr2bl w:val="none" w:sz="0" w:space="0" w:color="auto"/>
        </w:tcBorders>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paragraph" w:customStyle="1" w:styleId="TableCaption">
    <w:name w:val="Table Caption"/>
    <w:basedOn w:val="Caption"/>
    <w:next w:val="Normal"/>
    <w:link w:val="TableCaptionChar"/>
    <w:qFormat/>
    <w:locked/>
    <w:rsid w:val="00B95FFB"/>
    <w:pPr>
      <w:keepLines/>
      <w:spacing w:before="240" w:after="60" w:line="240" w:lineRule="auto"/>
    </w:pPr>
  </w:style>
  <w:style w:type="character" w:customStyle="1" w:styleId="TableCaptionChar">
    <w:name w:val="Table Caption Char"/>
    <w:link w:val="TableCaption"/>
    <w:rsid w:val="00B95FFB"/>
    <w:rPr>
      <w:rFonts w:ascii="Times New Roman" w:hAnsi="Times New Roman"/>
      <w:b/>
      <w:iCs/>
      <w:sz w:val="24"/>
      <w:szCs w:val="18"/>
    </w:rPr>
  </w:style>
  <w:style w:type="paragraph" w:styleId="BodyText">
    <w:name w:val="Body Text"/>
    <w:basedOn w:val="Normal"/>
    <w:link w:val="BodyTextChar"/>
    <w:uiPriority w:val="99"/>
    <w:unhideWhenUsed/>
    <w:rsid w:val="007334CB"/>
  </w:style>
  <w:style w:type="character" w:customStyle="1" w:styleId="BodyTextChar">
    <w:name w:val="Body Text Char"/>
    <w:basedOn w:val="DefaultParagraphFont"/>
    <w:link w:val="BodyText"/>
    <w:uiPriority w:val="99"/>
    <w:rsid w:val="007334CB"/>
    <w:rPr>
      <w:rFonts w:ascii="Times New Roman" w:hAnsi="Times New Roman"/>
      <w:sz w:val="24"/>
    </w:rPr>
  </w:style>
  <w:style w:type="paragraph" w:styleId="ListBullet">
    <w:name w:val="List Bullet"/>
    <w:basedOn w:val="ListParagraph"/>
    <w:uiPriority w:val="99"/>
    <w:unhideWhenUsed/>
    <w:rsid w:val="007334CB"/>
    <w:pPr>
      <w:numPr>
        <w:numId w:val="33"/>
      </w:numPr>
      <w:spacing w:after="160"/>
    </w:pPr>
  </w:style>
  <w:style w:type="paragraph" w:styleId="ListBullet2">
    <w:name w:val="List Bullet 2"/>
    <w:basedOn w:val="ListParagraph"/>
    <w:uiPriority w:val="99"/>
    <w:unhideWhenUsed/>
    <w:rsid w:val="00115C30"/>
    <w:pPr>
      <w:numPr>
        <w:ilvl w:val="1"/>
        <w:numId w:val="33"/>
      </w:numPr>
      <w:spacing w:after="160"/>
      <w:ind w:left="1080"/>
    </w:pPr>
  </w:style>
  <w:style w:type="paragraph" w:customStyle="1" w:styleId="TableHeader">
    <w:name w:val="Table Header"/>
    <w:basedOn w:val="ListParagraph"/>
    <w:qFormat/>
    <w:rsid w:val="00B815B4"/>
    <w:pPr>
      <w:spacing w:after="0" w:line="240" w:lineRule="auto"/>
      <w:ind w:left="0"/>
      <w:contextualSpacing w:val="0"/>
      <w:jc w:val="center"/>
    </w:pPr>
    <w:rPr>
      <w:b/>
      <w:bCs/>
      <w:sz w:val="20"/>
      <w:szCs w:val="20"/>
    </w:rPr>
  </w:style>
  <w:style w:type="paragraph" w:customStyle="1" w:styleId="TableText">
    <w:name w:val="Table Text"/>
    <w:basedOn w:val="ListParagraph"/>
    <w:qFormat/>
    <w:rsid w:val="007334CB"/>
    <w:pPr>
      <w:spacing w:after="0" w:line="240" w:lineRule="auto"/>
      <w:ind w:left="0"/>
      <w:contextualSpacing w:val="0"/>
      <w:jc w:val="center"/>
    </w:pPr>
    <w:rPr>
      <w:sz w:val="20"/>
      <w:szCs w:val="20"/>
    </w:rPr>
  </w:style>
  <w:style w:type="paragraph" w:styleId="BlockText">
    <w:name w:val="Block Text"/>
    <w:basedOn w:val="Normal"/>
    <w:uiPriority w:val="99"/>
    <w:unhideWhenUsed/>
    <w:rsid w:val="007334C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customStyle="1" w:styleId="TableBullet">
    <w:name w:val="Table Bullet"/>
    <w:basedOn w:val="TableText"/>
    <w:qFormat/>
    <w:rsid w:val="00B95FFB"/>
    <w:pPr>
      <w:numPr>
        <w:numId w:val="41"/>
      </w:numPr>
      <w:ind w:left="360"/>
      <w:jc w:val="left"/>
    </w:pPr>
    <w:rPr>
      <w:iCs/>
    </w:rPr>
  </w:style>
  <w:style w:type="paragraph" w:customStyle="1" w:styleId="Heading1notinTOC">
    <w:name w:val="Heading 1 not in TOC"/>
    <w:basedOn w:val="Heading1"/>
    <w:qFormat/>
    <w:rsid w:val="008753A7"/>
    <w:pPr>
      <w:numPr>
        <w:numId w:val="0"/>
      </w:numPr>
    </w:pPr>
  </w:style>
  <w:style w:type="paragraph" w:customStyle="1" w:styleId="Figure">
    <w:name w:val="Figure"/>
    <w:basedOn w:val="Normal"/>
    <w:qFormat/>
    <w:rsid w:val="00446FEB"/>
    <w:pPr>
      <w:keepNext/>
      <w:keepLines/>
      <w:spacing w:before="240" w:after="60" w:line="240" w:lineRule="auto"/>
      <w:jc w:val="center"/>
    </w:pPr>
  </w:style>
  <w:style w:type="paragraph" w:customStyle="1" w:styleId="BodyTextBold">
    <w:name w:val="Body Text Bold"/>
    <w:basedOn w:val="BodyText"/>
    <w:qFormat/>
    <w:rsid w:val="00446FEB"/>
    <w:rPr>
      <w:b/>
      <w:bCs/>
    </w:rPr>
  </w:style>
  <w:style w:type="paragraph" w:customStyle="1" w:styleId="BulletBoxindent">
    <w:name w:val="Bullet Box indent"/>
    <w:basedOn w:val="Normal"/>
    <w:qFormat/>
    <w:rsid w:val="00FE45ED"/>
    <w:pPr>
      <w:ind w:left="720" w:right="720" w:hanging="360"/>
    </w:pPr>
    <w:rPr>
      <w:rFonts w:cs="Times New Roman"/>
      <w:iCs/>
      <w:szCs w:val="24"/>
    </w:rPr>
  </w:style>
  <w:style w:type="paragraph" w:styleId="Quote">
    <w:name w:val="Quote"/>
    <w:basedOn w:val="Normal"/>
    <w:next w:val="Normal"/>
    <w:link w:val="QuoteChar"/>
    <w:uiPriority w:val="29"/>
    <w:qFormat/>
    <w:rsid w:val="00827C7C"/>
    <w:pPr>
      <w:ind w:left="720" w:right="720"/>
    </w:pPr>
  </w:style>
  <w:style w:type="character" w:customStyle="1" w:styleId="QuoteChar">
    <w:name w:val="Quote Char"/>
    <w:basedOn w:val="DefaultParagraphFont"/>
    <w:link w:val="Quote"/>
    <w:uiPriority w:val="29"/>
    <w:rsid w:val="00827C7C"/>
    <w:rPr>
      <w:rFonts w:ascii="Times New Roman" w:hAnsi="Times New Roman"/>
      <w:sz w:val="24"/>
    </w:rPr>
  </w:style>
  <w:style w:type="paragraph" w:customStyle="1" w:styleId="ListBulletLetters">
    <w:name w:val="List Bullet Letters"/>
    <w:basedOn w:val="ListBullet"/>
    <w:qFormat/>
    <w:rsid w:val="00C33926"/>
    <w:pPr>
      <w:numPr>
        <w:numId w:val="43"/>
      </w:numPr>
      <w:ind w:left="900" w:hanging="540"/>
    </w:pPr>
  </w:style>
  <w:style w:type="paragraph" w:customStyle="1" w:styleId="ListBulletroman">
    <w:name w:val="List Bullet roman"/>
    <w:basedOn w:val="ListBullet2"/>
    <w:qFormat/>
    <w:rsid w:val="00FE45ED"/>
    <w:pPr>
      <w:numPr>
        <w:numId w:val="64"/>
      </w:numPr>
      <w:ind w:left="720"/>
    </w:pPr>
  </w:style>
  <w:style w:type="paragraph" w:styleId="ListNumber">
    <w:name w:val="List Number"/>
    <w:basedOn w:val="ListBullet"/>
    <w:uiPriority w:val="99"/>
    <w:unhideWhenUsed/>
    <w:rsid w:val="00CC4D69"/>
    <w:pPr>
      <w:numPr>
        <w:numId w:val="49"/>
      </w:numPr>
    </w:pPr>
  </w:style>
  <w:style w:type="paragraph" w:customStyle="1" w:styleId="ListBulletroman2">
    <w:name w:val="List Bullet roman 2"/>
    <w:basedOn w:val="ListBulletroman"/>
    <w:qFormat/>
    <w:rsid w:val="00285D77"/>
  </w:style>
  <w:style w:type="paragraph" w:customStyle="1" w:styleId="TableNote">
    <w:name w:val="Table Note"/>
    <w:basedOn w:val="BodyText"/>
    <w:qFormat/>
    <w:rsid w:val="00B815B4"/>
    <w:pPr>
      <w:spacing w:after="240" w:line="240" w:lineRule="auto"/>
      <w:contextualSpacing/>
    </w:pPr>
    <w:rPr>
      <w:sz w:val="20"/>
      <w:szCs w:val="20"/>
    </w:rPr>
  </w:style>
  <w:style w:type="paragraph" w:customStyle="1" w:styleId="BulletBoxNoindent">
    <w:name w:val="Bullet Box No indent"/>
    <w:basedOn w:val="BulletBoxindent"/>
    <w:qFormat/>
    <w:rsid w:val="00B815B4"/>
    <w:pPr>
      <w:ind w:hanging="144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4282">
      <w:bodyDiv w:val="1"/>
      <w:marLeft w:val="0"/>
      <w:marRight w:val="0"/>
      <w:marTop w:val="0"/>
      <w:marBottom w:val="0"/>
      <w:divBdr>
        <w:top w:val="none" w:sz="0" w:space="0" w:color="auto"/>
        <w:left w:val="none" w:sz="0" w:space="0" w:color="auto"/>
        <w:bottom w:val="none" w:sz="0" w:space="0" w:color="auto"/>
        <w:right w:val="none" w:sz="0" w:space="0" w:color="auto"/>
      </w:divBdr>
      <w:divsChild>
        <w:div w:id="1995138876">
          <w:marLeft w:val="547"/>
          <w:marRight w:val="0"/>
          <w:marTop w:val="0"/>
          <w:marBottom w:val="180"/>
          <w:divBdr>
            <w:top w:val="none" w:sz="0" w:space="0" w:color="auto"/>
            <w:left w:val="none" w:sz="0" w:space="0" w:color="auto"/>
            <w:bottom w:val="none" w:sz="0" w:space="0" w:color="auto"/>
            <w:right w:val="none" w:sz="0" w:space="0" w:color="auto"/>
          </w:divBdr>
        </w:div>
        <w:div w:id="1341156476">
          <w:marLeft w:val="547"/>
          <w:marRight w:val="0"/>
          <w:marTop w:val="0"/>
          <w:marBottom w:val="180"/>
          <w:divBdr>
            <w:top w:val="none" w:sz="0" w:space="0" w:color="auto"/>
            <w:left w:val="none" w:sz="0" w:space="0" w:color="auto"/>
            <w:bottom w:val="none" w:sz="0" w:space="0" w:color="auto"/>
            <w:right w:val="none" w:sz="0" w:space="0" w:color="auto"/>
          </w:divBdr>
        </w:div>
        <w:div w:id="898977693">
          <w:marLeft w:val="547"/>
          <w:marRight w:val="0"/>
          <w:marTop w:val="0"/>
          <w:marBottom w:val="180"/>
          <w:divBdr>
            <w:top w:val="none" w:sz="0" w:space="0" w:color="auto"/>
            <w:left w:val="none" w:sz="0" w:space="0" w:color="auto"/>
            <w:bottom w:val="none" w:sz="0" w:space="0" w:color="auto"/>
            <w:right w:val="none" w:sz="0" w:space="0" w:color="auto"/>
          </w:divBdr>
        </w:div>
        <w:div w:id="250894976">
          <w:marLeft w:val="547"/>
          <w:marRight w:val="0"/>
          <w:marTop w:val="0"/>
          <w:marBottom w:val="180"/>
          <w:divBdr>
            <w:top w:val="none" w:sz="0" w:space="0" w:color="auto"/>
            <w:left w:val="none" w:sz="0" w:space="0" w:color="auto"/>
            <w:bottom w:val="none" w:sz="0" w:space="0" w:color="auto"/>
            <w:right w:val="none" w:sz="0" w:space="0" w:color="auto"/>
          </w:divBdr>
        </w:div>
      </w:divsChild>
    </w:div>
    <w:div w:id="145360836">
      <w:bodyDiv w:val="1"/>
      <w:marLeft w:val="0"/>
      <w:marRight w:val="0"/>
      <w:marTop w:val="0"/>
      <w:marBottom w:val="0"/>
      <w:divBdr>
        <w:top w:val="none" w:sz="0" w:space="0" w:color="auto"/>
        <w:left w:val="none" w:sz="0" w:space="0" w:color="auto"/>
        <w:bottom w:val="none" w:sz="0" w:space="0" w:color="auto"/>
        <w:right w:val="none" w:sz="0" w:space="0" w:color="auto"/>
      </w:divBdr>
      <w:divsChild>
        <w:div w:id="1177385094">
          <w:marLeft w:val="547"/>
          <w:marRight w:val="0"/>
          <w:marTop w:val="0"/>
          <w:marBottom w:val="180"/>
          <w:divBdr>
            <w:top w:val="none" w:sz="0" w:space="0" w:color="auto"/>
            <w:left w:val="none" w:sz="0" w:space="0" w:color="auto"/>
            <w:bottom w:val="none" w:sz="0" w:space="0" w:color="auto"/>
            <w:right w:val="none" w:sz="0" w:space="0" w:color="auto"/>
          </w:divBdr>
        </w:div>
        <w:div w:id="1458452351">
          <w:marLeft w:val="547"/>
          <w:marRight w:val="0"/>
          <w:marTop w:val="0"/>
          <w:marBottom w:val="180"/>
          <w:divBdr>
            <w:top w:val="none" w:sz="0" w:space="0" w:color="auto"/>
            <w:left w:val="none" w:sz="0" w:space="0" w:color="auto"/>
            <w:bottom w:val="none" w:sz="0" w:space="0" w:color="auto"/>
            <w:right w:val="none" w:sz="0" w:space="0" w:color="auto"/>
          </w:divBdr>
        </w:div>
      </w:divsChild>
    </w:div>
    <w:div w:id="442262912">
      <w:bodyDiv w:val="1"/>
      <w:marLeft w:val="0"/>
      <w:marRight w:val="0"/>
      <w:marTop w:val="0"/>
      <w:marBottom w:val="0"/>
      <w:divBdr>
        <w:top w:val="none" w:sz="0" w:space="0" w:color="auto"/>
        <w:left w:val="none" w:sz="0" w:space="0" w:color="auto"/>
        <w:bottom w:val="none" w:sz="0" w:space="0" w:color="auto"/>
        <w:right w:val="none" w:sz="0" w:space="0" w:color="auto"/>
      </w:divBdr>
      <w:divsChild>
        <w:div w:id="1626036853">
          <w:marLeft w:val="547"/>
          <w:marRight w:val="0"/>
          <w:marTop w:val="0"/>
          <w:marBottom w:val="180"/>
          <w:divBdr>
            <w:top w:val="none" w:sz="0" w:space="0" w:color="auto"/>
            <w:left w:val="none" w:sz="0" w:space="0" w:color="auto"/>
            <w:bottom w:val="none" w:sz="0" w:space="0" w:color="auto"/>
            <w:right w:val="none" w:sz="0" w:space="0" w:color="auto"/>
          </w:divBdr>
        </w:div>
        <w:div w:id="790634007">
          <w:marLeft w:val="547"/>
          <w:marRight w:val="0"/>
          <w:marTop w:val="0"/>
          <w:marBottom w:val="180"/>
          <w:divBdr>
            <w:top w:val="none" w:sz="0" w:space="0" w:color="auto"/>
            <w:left w:val="none" w:sz="0" w:space="0" w:color="auto"/>
            <w:bottom w:val="none" w:sz="0" w:space="0" w:color="auto"/>
            <w:right w:val="none" w:sz="0" w:space="0" w:color="auto"/>
          </w:divBdr>
        </w:div>
        <w:div w:id="495153578">
          <w:marLeft w:val="547"/>
          <w:marRight w:val="0"/>
          <w:marTop w:val="0"/>
          <w:marBottom w:val="180"/>
          <w:divBdr>
            <w:top w:val="none" w:sz="0" w:space="0" w:color="auto"/>
            <w:left w:val="none" w:sz="0" w:space="0" w:color="auto"/>
            <w:bottom w:val="none" w:sz="0" w:space="0" w:color="auto"/>
            <w:right w:val="none" w:sz="0" w:space="0" w:color="auto"/>
          </w:divBdr>
        </w:div>
        <w:div w:id="1768696216">
          <w:marLeft w:val="1166"/>
          <w:marRight w:val="0"/>
          <w:marTop w:val="0"/>
          <w:marBottom w:val="180"/>
          <w:divBdr>
            <w:top w:val="none" w:sz="0" w:space="0" w:color="auto"/>
            <w:left w:val="none" w:sz="0" w:space="0" w:color="auto"/>
            <w:bottom w:val="none" w:sz="0" w:space="0" w:color="auto"/>
            <w:right w:val="none" w:sz="0" w:space="0" w:color="auto"/>
          </w:divBdr>
        </w:div>
        <w:div w:id="1537620909">
          <w:marLeft w:val="1166"/>
          <w:marRight w:val="0"/>
          <w:marTop w:val="0"/>
          <w:marBottom w:val="180"/>
          <w:divBdr>
            <w:top w:val="none" w:sz="0" w:space="0" w:color="auto"/>
            <w:left w:val="none" w:sz="0" w:space="0" w:color="auto"/>
            <w:bottom w:val="none" w:sz="0" w:space="0" w:color="auto"/>
            <w:right w:val="none" w:sz="0" w:space="0" w:color="auto"/>
          </w:divBdr>
        </w:div>
        <w:div w:id="1558517987">
          <w:marLeft w:val="547"/>
          <w:marRight w:val="0"/>
          <w:marTop w:val="0"/>
          <w:marBottom w:val="180"/>
          <w:divBdr>
            <w:top w:val="none" w:sz="0" w:space="0" w:color="auto"/>
            <w:left w:val="none" w:sz="0" w:space="0" w:color="auto"/>
            <w:bottom w:val="none" w:sz="0" w:space="0" w:color="auto"/>
            <w:right w:val="none" w:sz="0" w:space="0" w:color="auto"/>
          </w:divBdr>
        </w:div>
        <w:div w:id="1605652200">
          <w:marLeft w:val="1267"/>
          <w:marRight w:val="0"/>
          <w:marTop w:val="0"/>
          <w:marBottom w:val="180"/>
          <w:divBdr>
            <w:top w:val="none" w:sz="0" w:space="0" w:color="auto"/>
            <w:left w:val="none" w:sz="0" w:space="0" w:color="auto"/>
            <w:bottom w:val="none" w:sz="0" w:space="0" w:color="auto"/>
            <w:right w:val="none" w:sz="0" w:space="0" w:color="auto"/>
          </w:divBdr>
        </w:div>
        <w:div w:id="1690568240">
          <w:marLeft w:val="1267"/>
          <w:marRight w:val="0"/>
          <w:marTop w:val="0"/>
          <w:marBottom w:val="180"/>
          <w:divBdr>
            <w:top w:val="none" w:sz="0" w:space="0" w:color="auto"/>
            <w:left w:val="none" w:sz="0" w:space="0" w:color="auto"/>
            <w:bottom w:val="none" w:sz="0" w:space="0" w:color="auto"/>
            <w:right w:val="none" w:sz="0" w:space="0" w:color="auto"/>
          </w:divBdr>
        </w:div>
        <w:div w:id="1449473651">
          <w:marLeft w:val="1267"/>
          <w:marRight w:val="0"/>
          <w:marTop w:val="0"/>
          <w:marBottom w:val="180"/>
          <w:divBdr>
            <w:top w:val="none" w:sz="0" w:space="0" w:color="auto"/>
            <w:left w:val="none" w:sz="0" w:space="0" w:color="auto"/>
            <w:bottom w:val="none" w:sz="0" w:space="0" w:color="auto"/>
            <w:right w:val="none" w:sz="0" w:space="0" w:color="auto"/>
          </w:divBdr>
        </w:div>
        <w:div w:id="732390051">
          <w:marLeft w:val="547"/>
          <w:marRight w:val="0"/>
          <w:marTop w:val="0"/>
          <w:marBottom w:val="180"/>
          <w:divBdr>
            <w:top w:val="none" w:sz="0" w:space="0" w:color="auto"/>
            <w:left w:val="none" w:sz="0" w:space="0" w:color="auto"/>
            <w:bottom w:val="none" w:sz="0" w:space="0" w:color="auto"/>
            <w:right w:val="none" w:sz="0" w:space="0" w:color="auto"/>
          </w:divBdr>
        </w:div>
        <w:div w:id="1072238274">
          <w:marLeft w:val="1166"/>
          <w:marRight w:val="0"/>
          <w:marTop w:val="0"/>
          <w:marBottom w:val="180"/>
          <w:divBdr>
            <w:top w:val="none" w:sz="0" w:space="0" w:color="auto"/>
            <w:left w:val="none" w:sz="0" w:space="0" w:color="auto"/>
            <w:bottom w:val="none" w:sz="0" w:space="0" w:color="auto"/>
            <w:right w:val="none" w:sz="0" w:space="0" w:color="auto"/>
          </w:divBdr>
        </w:div>
        <w:div w:id="904222268">
          <w:marLeft w:val="1166"/>
          <w:marRight w:val="0"/>
          <w:marTop w:val="0"/>
          <w:marBottom w:val="180"/>
          <w:divBdr>
            <w:top w:val="none" w:sz="0" w:space="0" w:color="auto"/>
            <w:left w:val="none" w:sz="0" w:space="0" w:color="auto"/>
            <w:bottom w:val="none" w:sz="0" w:space="0" w:color="auto"/>
            <w:right w:val="none" w:sz="0" w:space="0" w:color="auto"/>
          </w:divBdr>
        </w:div>
        <w:div w:id="1607075349">
          <w:marLeft w:val="1166"/>
          <w:marRight w:val="0"/>
          <w:marTop w:val="0"/>
          <w:marBottom w:val="180"/>
          <w:divBdr>
            <w:top w:val="none" w:sz="0" w:space="0" w:color="auto"/>
            <w:left w:val="none" w:sz="0" w:space="0" w:color="auto"/>
            <w:bottom w:val="none" w:sz="0" w:space="0" w:color="auto"/>
            <w:right w:val="none" w:sz="0" w:space="0" w:color="auto"/>
          </w:divBdr>
        </w:div>
        <w:div w:id="1422526896">
          <w:marLeft w:val="1166"/>
          <w:marRight w:val="0"/>
          <w:marTop w:val="0"/>
          <w:marBottom w:val="180"/>
          <w:divBdr>
            <w:top w:val="none" w:sz="0" w:space="0" w:color="auto"/>
            <w:left w:val="none" w:sz="0" w:space="0" w:color="auto"/>
            <w:bottom w:val="none" w:sz="0" w:space="0" w:color="auto"/>
            <w:right w:val="none" w:sz="0" w:space="0" w:color="auto"/>
          </w:divBdr>
        </w:div>
        <w:div w:id="1843810475">
          <w:marLeft w:val="1166"/>
          <w:marRight w:val="0"/>
          <w:marTop w:val="0"/>
          <w:marBottom w:val="180"/>
          <w:divBdr>
            <w:top w:val="none" w:sz="0" w:space="0" w:color="auto"/>
            <w:left w:val="none" w:sz="0" w:space="0" w:color="auto"/>
            <w:bottom w:val="none" w:sz="0" w:space="0" w:color="auto"/>
            <w:right w:val="none" w:sz="0" w:space="0" w:color="auto"/>
          </w:divBdr>
        </w:div>
        <w:div w:id="366950651">
          <w:marLeft w:val="1166"/>
          <w:marRight w:val="0"/>
          <w:marTop w:val="0"/>
          <w:marBottom w:val="180"/>
          <w:divBdr>
            <w:top w:val="none" w:sz="0" w:space="0" w:color="auto"/>
            <w:left w:val="none" w:sz="0" w:space="0" w:color="auto"/>
            <w:bottom w:val="none" w:sz="0" w:space="0" w:color="auto"/>
            <w:right w:val="none" w:sz="0" w:space="0" w:color="auto"/>
          </w:divBdr>
        </w:div>
      </w:divsChild>
    </w:div>
    <w:div w:id="507062917">
      <w:bodyDiv w:val="1"/>
      <w:marLeft w:val="0"/>
      <w:marRight w:val="0"/>
      <w:marTop w:val="0"/>
      <w:marBottom w:val="0"/>
      <w:divBdr>
        <w:top w:val="none" w:sz="0" w:space="0" w:color="auto"/>
        <w:left w:val="none" w:sz="0" w:space="0" w:color="auto"/>
        <w:bottom w:val="none" w:sz="0" w:space="0" w:color="auto"/>
        <w:right w:val="none" w:sz="0" w:space="0" w:color="auto"/>
      </w:divBdr>
      <w:divsChild>
        <w:div w:id="1745103042">
          <w:marLeft w:val="547"/>
          <w:marRight w:val="0"/>
          <w:marTop w:val="0"/>
          <w:marBottom w:val="180"/>
          <w:divBdr>
            <w:top w:val="none" w:sz="0" w:space="0" w:color="auto"/>
            <w:left w:val="none" w:sz="0" w:space="0" w:color="auto"/>
            <w:bottom w:val="none" w:sz="0" w:space="0" w:color="auto"/>
            <w:right w:val="none" w:sz="0" w:space="0" w:color="auto"/>
          </w:divBdr>
        </w:div>
        <w:div w:id="805242522">
          <w:marLeft w:val="547"/>
          <w:marRight w:val="0"/>
          <w:marTop w:val="0"/>
          <w:marBottom w:val="180"/>
          <w:divBdr>
            <w:top w:val="none" w:sz="0" w:space="0" w:color="auto"/>
            <w:left w:val="none" w:sz="0" w:space="0" w:color="auto"/>
            <w:bottom w:val="none" w:sz="0" w:space="0" w:color="auto"/>
            <w:right w:val="none" w:sz="0" w:space="0" w:color="auto"/>
          </w:divBdr>
        </w:div>
        <w:div w:id="2137522862">
          <w:marLeft w:val="547"/>
          <w:marRight w:val="0"/>
          <w:marTop w:val="0"/>
          <w:marBottom w:val="180"/>
          <w:divBdr>
            <w:top w:val="none" w:sz="0" w:space="0" w:color="auto"/>
            <w:left w:val="none" w:sz="0" w:space="0" w:color="auto"/>
            <w:bottom w:val="none" w:sz="0" w:space="0" w:color="auto"/>
            <w:right w:val="none" w:sz="0" w:space="0" w:color="auto"/>
          </w:divBdr>
        </w:div>
        <w:div w:id="40327914">
          <w:marLeft w:val="547"/>
          <w:marRight w:val="0"/>
          <w:marTop w:val="0"/>
          <w:marBottom w:val="180"/>
          <w:divBdr>
            <w:top w:val="none" w:sz="0" w:space="0" w:color="auto"/>
            <w:left w:val="none" w:sz="0" w:space="0" w:color="auto"/>
            <w:bottom w:val="none" w:sz="0" w:space="0" w:color="auto"/>
            <w:right w:val="none" w:sz="0" w:space="0" w:color="auto"/>
          </w:divBdr>
        </w:div>
        <w:div w:id="915869519">
          <w:marLeft w:val="1166"/>
          <w:marRight w:val="0"/>
          <w:marTop w:val="0"/>
          <w:marBottom w:val="180"/>
          <w:divBdr>
            <w:top w:val="none" w:sz="0" w:space="0" w:color="auto"/>
            <w:left w:val="none" w:sz="0" w:space="0" w:color="auto"/>
            <w:bottom w:val="none" w:sz="0" w:space="0" w:color="auto"/>
            <w:right w:val="none" w:sz="0" w:space="0" w:color="auto"/>
          </w:divBdr>
        </w:div>
        <w:div w:id="1093939626">
          <w:marLeft w:val="1166"/>
          <w:marRight w:val="0"/>
          <w:marTop w:val="0"/>
          <w:marBottom w:val="180"/>
          <w:divBdr>
            <w:top w:val="none" w:sz="0" w:space="0" w:color="auto"/>
            <w:left w:val="none" w:sz="0" w:space="0" w:color="auto"/>
            <w:bottom w:val="none" w:sz="0" w:space="0" w:color="auto"/>
            <w:right w:val="none" w:sz="0" w:space="0" w:color="auto"/>
          </w:divBdr>
        </w:div>
        <w:div w:id="2098269">
          <w:marLeft w:val="1166"/>
          <w:marRight w:val="0"/>
          <w:marTop w:val="0"/>
          <w:marBottom w:val="180"/>
          <w:divBdr>
            <w:top w:val="none" w:sz="0" w:space="0" w:color="auto"/>
            <w:left w:val="none" w:sz="0" w:space="0" w:color="auto"/>
            <w:bottom w:val="none" w:sz="0" w:space="0" w:color="auto"/>
            <w:right w:val="none" w:sz="0" w:space="0" w:color="auto"/>
          </w:divBdr>
        </w:div>
        <w:div w:id="222179694">
          <w:marLeft w:val="547"/>
          <w:marRight w:val="0"/>
          <w:marTop w:val="0"/>
          <w:marBottom w:val="180"/>
          <w:divBdr>
            <w:top w:val="none" w:sz="0" w:space="0" w:color="auto"/>
            <w:left w:val="none" w:sz="0" w:space="0" w:color="auto"/>
            <w:bottom w:val="none" w:sz="0" w:space="0" w:color="auto"/>
            <w:right w:val="none" w:sz="0" w:space="0" w:color="auto"/>
          </w:divBdr>
        </w:div>
        <w:div w:id="1577130788">
          <w:marLeft w:val="547"/>
          <w:marRight w:val="0"/>
          <w:marTop w:val="0"/>
          <w:marBottom w:val="180"/>
          <w:divBdr>
            <w:top w:val="none" w:sz="0" w:space="0" w:color="auto"/>
            <w:left w:val="none" w:sz="0" w:space="0" w:color="auto"/>
            <w:bottom w:val="none" w:sz="0" w:space="0" w:color="auto"/>
            <w:right w:val="none" w:sz="0" w:space="0" w:color="auto"/>
          </w:divBdr>
        </w:div>
        <w:div w:id="1963918721">
          <w:marLeft w:val="547"/>
          <w:marRight w:val="0"/>
          <w:marTop w:val="0"/>
          <w:marBottom w:val="180"/>
          <w:divBdr>
            <w:top w:val="none" w:sz="0" w:space="0" w:color="auto"/>
            <w:left w:val="none" w:sz="0" w:space="0" w:color="auto"/>
            <w:bottom w:val="none" w:sz="0" w:space="0" w:color="auto"/>
            <w:right w:val="none" w:sz="0" w:space="0" w:color="auto"/>
          </w:divBdr>
        </w:div>
        <w:div w:id="385564100">
          <w:marLeft w:val="1166"/>
          <w:marRight w:val="0"/>
          <w:marTop w:val="0"/>
          <w:marBottom w:val="180"/>
          <w:divBdr>
            <w:top w:val="none" w:sz="0" w:space="0" w:color="auto"/>
            <w:left w:val="none" w:sz="0" w:space="0" w:color="auto"/>
            <w:bottom w:val="none" w:sz="0" w:space="0" w:color="auto"/>
            <w:right w:val="none" w:sz="0" w:space="0" w:color="auto"/>
          </w:divBdr>
        </w:div>
        <w:div w:id="763768041">
          <w:marLeft w:val="1166"/>
          <w:marRight w:val="0"/>
          <w:marTop w:val="0"/>
          <w:marBottom w:val="180"/>
          <w:divBdr>
            <w:top w:val="none" w:sz="0" w:space="0" w:color="auto"/>
            <w:left w:val="none" w:sz="0" w:space="0" w:color="auto"/>
            <w:bottom w:val="none" w:sz="0" w:space="0" w:color="auto"/>
            <w:right w:val="none" w:sz="0" w:space="0" w:color="auto"/>
          </w:divBdr>
        </w:div>
        <w:div w:id="1354726883">
          <w:marLeft w:val="1166"/>
          <w:marRight w:val="0"/>
          <w:marTop w:val="0"/>
          <w:marBottom w:val="180"/>
          <w:divBdr>
            <w:top w:val="none" w:sz="0" w:space="0" w:color="auto"/>
            <w:left w:val="none" w:sz="0" w:space="0" w:color="auto"/>
            <w:bottom w:val="none" w:sz="0" w:space="0" w:color="auto"/>
            <w:right w:val="none" w:sz="0" w:space="0" w:color="auto"/>
          </w:divBdr>
        </w:div>
      </w:divsChild>
    </w:div>
    <w:div w:id="555817920">
      <w:bodyDiv w:val="1"/>
      <w:marLeft w:val="0"/>
      <w:marRight w:val="0"/>
      <w:marTop w:val="0"/>
      <w:marBottom w:val="0"/>
      <w:divBdr>
        <w:top w:val="none" w:sz="0" w:space="0" w:color="auto"/>
        <w:left w:val="none" w:sz="0" w:space="0" w:color="auto"/>
        <w:bottom w:val="none" w:sz="0" w:space="0" w:color="auto"/>
        <w:right w:val="none" w:sz="0" w:space="0" w:color="auto"/>
      </w:divBdr>
      <w:divsChild>
        <w:div w:id="36245022">
          <w:marLeft w:val="547"/>
          <w:marRight w:val="0"/>
          <w:marTop w:val="0"/>
          <w:marBottom w:val="180"/>
          <w:divBdr>
            <w:top w:val="none" w:sz="0" w:space="0" w:color="auto"/>
            <w:left w:val="none" w:sz="0" w:space="0" w:color="auto"/>
            <w:bottom w:val="none" w:sz="0" w:space="0" w:color="auto"/>
            <w:right w:val="none" w:sz="0" w:space="0" w:color="auto"/>
          </w:divBdr>
        </w:div>
        <w:div w:id="1514150451">
          <w:marLeft w:val="547"/>
          <w:marRight w:val="0"/>
          <w:marTop w:val="0"/>
          <w:marBottom w:val="180"/>
          <w:divBdr>
            <w:top w:val="none" w:sz="0" w:space="0" w:color="auto"/>
            <w:left w:val="none" w:sz="0" w:space="0" w:color="auto"/>
            <w:bottom w:val="none" w:sz="0" w:space="0" w:color="auto"/>
            <w:right w:val="none" w:sz="0" w:space="0" w:color="auto"/>
          </w:divBdr>
        </w:div>
        <w:div w:id="1037774268">
          <w:marLeft w:val="547"/>
          <w:marRight w:val="0"/>
          <w:marTop w:val="0"/>
          <w:marBottom w:val="180"/>
          <w:divBdr>
            <w:top w:val="none" w:sz="0" w:space="0" w:color="auto"/>
            <w:left w:val="none" w:sz="0" w:space="0" w:color="auto"/>
            <w:bottom w:val="none" w:sz="0" w:space="0" w:color="auto"/>
            <w:right w:val="none" w:sz="0" w:space="0" w:color="auto"/>
          </w:divBdr>
        </w:div>
        <w:div w:id="1578126279">
          <w:marLeft w:val="547"/>
          <w:marRight w:val="0"/>
          <w:marTop w:val="0"/>
          <w:marBottom w:val="180"/>
          <w:divBdr>
            <w:top w:val="none" w:sz="0" w:space="0" w:color="auto"/>
            <w:left w:val="none" w:sz="0" w:space="0" w:color="auto"/>
            <w:bottom w:val="none" w:sz="0" w:space="0" w:color="auto"/>
            <w:right w:val="none" w:sz="0" w:space="0" w:color="auto"/>
          </w:divBdr>
        </w:div>
      </w:divsChild>
    </w:div>
    <w:div w:id="640576318">
      <w:bodyDiv w:val="1"/>
      <w:marLeft w:val="0"/>
      <w:marRight w:val="0"/>
      <w:marTop w:val="0"/>
      <w:marBottom w:val="0"/>
      <w:divBdr>
        <w:top w:val="none" w:sz="0" w:space="0" w:color="auto"/>
        <w:left w:val="none" w:sz="0" w:space="0" w:color="auto"/>
        <w:bottom w:val="none" w:sz="0" w:space="0" w:color="auto"/>
        <w:right w:val="none" w:sz="0" w:space="0" w:color="auto"/>
      </w:divBdr>
      <w:divsChild>
        <w:div w:id="685443817">
          <w:marLeft w:val="547"/>
          <w:marRight w:val="0"/>
          <w:marTop w:val="0"/>
          <w:marBottom w:val="180"/>
          <w:divBdr>
            <w:top w:val="none" w:sz="0" w:space="0" w:color="auto"/>
            <w:left w:val="none" w:sz="0" w:space="0" w:color="auto"/>
            <w:bottom w:val="none" w:sz="0" w:space="0" w:color="auto"/>
            <w:right w:val="none" w:sz="0" w:space="0" w:color="auto"/>
          </w:divBdr>
        </w:div>
        <w:div w:id="68043116">
          <w:marLeft w:val="1166"/>
          <w:marRight w:val="0"/>
          <w:marTop w:val="0"/>
          <w:marBottom w:val="180"/>
          <w:divBdr>
            <w:top w:val="none" w:sz="0" w:space="0" w:color="auto"/>
            <w:left w:val="none" w:sz="0" w:space="0" w:color="auto"/>
            <w:bottom w:val="none" w:sz="0" w:space="0" w:color="auto"/>
            <w:right w:val="none" w:sz="0" w:space="0" w:color="auto"/>
          </w:divBdr>
        </w:div>
        <w:div w:id="1420370749">
          <w:marLeft w:val="1166"/>
          <w:marRight w:val="0"/>
          <w:marTop w:val="0"/>
          <w:marBottom w:val="180"/>
          <w:divBdr>
            <w:top w:val="none" w:sz="0" w:space="0" w:color="auto"/>
            <w:left w:val="none" w:sz="0" w:space="0" w:color="auto"/>
            <w:bottom w:val="none" w:sz="0" w:space="0" w:color="auto"/>
            <w:right w:val="none" w:sz="0" w:space="0" w:color="auto"/>
          </w:divBdr>
        </w:div>
        <w:div w:id="1019889748">
          <w:marLeft w:val="1166"/>
          <w:marRight w:val="0"/>
          <w:marTop w:val="0"/>
          <w:marBottom w:val="180"/>
          <w:divBdr>
            <w:top w:val="none" w:sz="0" w:space="0" w:color="auto"/>
            <w:left w:val="none" w:sz="0" w:space="0" w:color="auto"/>
            <w:bottom w:val="none" w:sz="0" w:space="0" w:color="auto"/>
            <w:right w:val="none" w:sz="0" w:space="0" w:color="auto"/>
          </w:divBdr>
        </w:div>
        <w:div w:id="2045402955">
          <w:marLeft w:val="1166"/>
          <w:marRight w:val="0"/>
          <w:marTop w:val="0"/>
          <w:marBottom w:val="180"/>
          <w:divBdr>
            <w:top w:val="none" w:sz="0" w:space="0" w:color="auto"/>
            <w:left w:val="none" w:sz="0" w:space="0" w:color="auto"/>
            <w:bottom w:val="none" w:sz="0" w:space="0" w:color="auto"/>
            <w:right w:val="none" w:sz="0" w:space="0" w:color="auto"/>
          </w:divBdr>
        </w:div>
        <w:div w:id="1862551659">
          <w:marLeft w:val="1166"/>
          <w:marRight w:val="0"/>
          <w:marTop w:val="0"/>
          <w:marBottom w:val="180"/>
          <w:divBdr>
            <w:top w:val="none" w:sz="0" w:space="0" w:color="auto"/>
            <w:left w:val="none" w:sz="0" w:space="0" w:color="auto"/>
            <w:bottom w:val="none" w:sz="0" w:space="0" w:color="auto"/>
            <w:right w:val="none" w:sz="0" w:space="0" w:color="auto"/>
          </w:divBdr>
        </w:div>
        <w:div w:id="262424742">
          <w:marLeft w:val="547"/>
          <w:marRight w:val="0"/>
          <w:marTop w:val="0"/>
          <w:marBottom w:val="180"/>
          <w:divBdr>
            <w:top w:val="none" w:sz="0" w:space="0" w:color="auto"/>
            <w:left w:val="none" w:sz="0" w:space="0" w:color="auto"/>
            <w:bottom w:val="none" w:sz="0" w:space="0" w:color="auto"/>
            <w:right w:val="none" w:sz="0" w:space="0" w:color="auto"/>
          </w:divBdr>
        </w:div>
      </w:divsChild>
    </w:div>
    <w:div w:id="1498156239">
      <w:bodyDiv w:val="1"/>
      <w:marLeft w:val="0"/>
      <w:marRight w:val="0"/>
      <w:marTop w:val="0"/>
      <w:marBottom w:val="0"/>
      <w:divBdr>
        <w:top w:val="none" w:sz="0" w:space="0" w:color="auto"/>
        <w:left w:val="none" w:sz="0" w:space="0" w:color="auto"/>
        <w:bottom w:val="none" w:sz="0" w:space="0" w:color="auto"/>
        <w:right w:val="none" w:sz="0" w:space="0" w:color="auto"/>
      </w:divBdr>
      <w:divsChild>
        <w:div w:id="1912885304">
          <w:marLeft w:val="547"/>
          <w:marRight w:val="0"/>
          <w:marTop w:val="0"/>
          <w:marBottom w:val="180"/>
          <w:divBdr>
            <w:top w:val="none" w:sz="0" w:space="0" w:color="auto"/>
            <w:left w:val="none" w:sz="0" w:space="0" w:color="auto"/>
            <w:bottom w:val="none" w:sz="0" w:space="0" w:color="auto"/>
            <w:right w:val="none" w:sz="0" w:space="0" w:color="auto"/>
          </w:divBdr>
        </w:div>
        <w:div w:id="1297642153">
          <w:marLeft w:val="547"/>
          <w:marRight w:val="0"/>
          <w:marTop w:val="0"/>
          <w:marBottom w:val="180"/>
          <w:divBdr>
            <w:top w:val="none" w:sz="0" w:space="0" w:color="auto"/>
            <w:left w:val="none" w:sz="0" w:space="0" w:color="auto"/>
            <w:bottom w:val="none" w:sz="0" w:space="0" w:color="auto"/>
            <w:right w:val="none" w:sz="0" w:space="0" w:color="auto"/>
          </w:divBdr>
        </w:div>
        <w:div w:id="459344893">
          <w:marLeft w:val="547"/>
          <w:marRight w:val="0"/>
          <w:marTop w:val="0"/>
          <w:marBottom w:val="180"/>
          <w:divBdr>
            <w:top w:val="none" w:sz="0" w:space="0" w:color="auto"/>
            <w:left w:val="none" w:sz="0" w:space="0" w:color="auto"/>
            <w:bottom w:val="none" w:sz="0" w:space="0" w:color="auto"/>
            <w:right w:val="none" w:sz="0" w:space="0" w:color="auto"/>
          </w:divBdr>
        </w:div>
        <w:div w:id="935744522">
          <w:marLeft w:val="547"/>
          <w:marRight w:val="0"/>
          <w:marTop w:val="0"/>
          <w:marBottom w:val="180"/>
          <w:divBdr>
            <w:top w:val="none" w:sz="0" w:space="0" w:color="auto"/>
            <w:left w:val="none" w:sz="0" w:space="0" w:color="auto"/>
            <w:bottom w:val="none" w:sz="0" w:space="0" w:color="auto"/>
            <w:right w:val="none" w:sz="0" w:space="0" w:color="auto"/>
          </w:divBdr>
        </w:div>
        <w:div w:id="500655690">
          <w:marLeft w:val="547"/>
          <w:marRight w:val="0"/>
          <w:marTop w:val="0"/>
          <w:marBottom w:val="180"/>
          <w:divBdr>
            <w:top w:val="none" w:sz="0" w:space="0" w:color="auto"/>
            <w:left w:val="none" w:sz="0" w:space="0" w:color="auto"/>
            <w:bottom w:val="none" w:sz="0" w:space="0" w:color="auto"/>
            <w:right w:val="none" w:sz="0" w:space="0" w:color="auto"/>
          </w:divBdr>
        </w:div>
      </w:divsChild>
    </w:div>
    <w:div w:id="1871989100">
      <w:bodyDiv w:val="1"/>
      <w:marLeft w:val="0"/>
      <w:marRight w:val="0"/>
      <w:marTop w:val="0"/>
      <w:marBottom w:val="0"/>
      <w:divBdr>
        <w:top w:val="none" w:sz="0" w:space="0" w:color="auto"/>
        <w:left w:val="none" w:sz="0" w:space="0" w:color="auto"/>
        <w:bottom w:val="none" w:sz="0" w:space="0" w:color="auto"/>
        <w:right w:val="none" w:sz="0" w:space="0" w:color="auto"/>
      </w:divBdr>
      <w:divsChild>
        <w:div w:id="963542562">
          <w:marLeft w:val="547"/>
          <w:marRight w:val="0"/>
          <w:marTop w:val="0"/>
          <w:marBottom w:val="180"/>
          <w:divBdr>
            <w:top w:val="none" w:sz="0" w:space="0" w:color="auto"/>
            <w:left w:val="none" w:sz="0" w:space="0" w:color="auto"/>
            <w:bottom w:val="none" w:sz="0" w:space="0" w:color="auto"/>
            <w:right w:val="none" w:sz="0" w:space="0" w:color="auto"/>
          </w:divBdr>
        </w:div>
        <w:div w:id="805321379">
          <w:marLeft w:val="547"/>
          <w:marRight w:val="0"/>
          <w:marTop w:val="0"/>
          <w:marBottom w:val="180"/>
          <w:divBdr>
            <w:top w:val="none" w:sz="0" w:space="0" w:color="auto"/>
            <w:left w:val="none" w:sz="0" w:space="0" w:color="auto"/>
            <w:bottom w:val="none" w:sz="0" w:space="0" w:color="auto"/>
            <w:right w:val="none" w:sz="0" w:space="0" w:color="auto"/>
          </w:divBdr>
        </w:div>
        <w:div w:id="2107921645">
          <w:marLeft w:val="1166"/>
          <w:marRight w:val="0"/>
          <w:marTop w:val="0"/>
          <w:marBottom w:val="0"/>
          <w:divBdr>
            <w:top w:val="none" w:sz="0" w:space="0" w:color="auto"/>
            <w:left w:val="none" w:sz="0" w:space="0" w:color="auto"/>
            <w:bottom w:val="none" w:sz="0" w:space="0" w:color="auto"/>
            <w:right w:val="none" w:sz="0" w:space="0" w:color="auto"/>
          </w:divBdr>
        </w:div>
        <w:div w:id="1789469711">
          <w:marLeft w:val="1166"/>
          <w:marRight w:val="0"/>
          <w:marTop w:val="0"/>
          <w:marBottom w:val="160"/>
          <w:divBdr>
            <w:top w:val="none" w:sz="0" w:space="0" w:color="auto"/>
            <w:left w:val="none" w:sz="0" w:space="0" w:color="auto"/>
            <w:bottom w:val="none" w:sz="0" w:space="0" w:color="auto"/>
            <w:right w:val="none" w:sz="0" w:space="0" w:color="auto"/>
          </w:divBdr>
        </w:div>
        <w:div w:id="43019368">
          <w:marLeft w:val="547"/>
          <w:marRight w:val="0"/>
          <w:marTop w:val="0"/>
          <w:marBottom w:val="180"/>
          <w:divBdr>
            <w:top w:val="none" w:sz="0" w:space="0" w:color="auto"/>
            <w:left w:val="none" w:sz="0" w:space="0" w:color="auto"/>
            <w:bottom w:val="none" w:sz="0" w:space="0" w:color="auto"/>
            <w:right w:val="none" w:sz="0" w:space="0" w:color="auto"/>
          </w:divBdr>
        </w:div>
      </w:divsChild>
    </w:div>
    <w:div w:id="1991403904">
      <w:bodyDiv w:val="1"/>
      <w:marLeft w:val="0"/>
      <w:marRight w:val="0"/>
      <w:marTop w:val="0"/>
      <w:marBottom w:val="0"/>
      <w:divBdr>
        <w:top w:val="none" w:sz="0" w:space="0" w:color="auto"/>
        <w:left w:val="none" w:sz="0" w:space="0" w:color="auto"/>
        <w:bottom w:val="none" w:sz="0" w:space="0" w:color="auto"/>
        <w:right w:val="none" w:sz="0" w:space="0" w:color="auto"/>
      </w:divBdr>
      <w:divsChild>
        <w:div w:id="751125174">
          <w:marLeft w:val="547"/>
          <w:marRight w:val="0"/>
          <w:marTop w:val="0"/>
          <w:marBottom w:val="180"/>
          <w:divBdr>
            <w:top w:val="none" w:sz="0" w:space="0" w:color="auto"/>
            <w:left w:val="none" w:sz="0" w:space="0" w:color="auto"/>
            <w:bottom w:val="none" w:sz="0" w:space="0" w:color="auto"/>
            <w:right w:val="none" w:sz="0" w:space="0" w:color="auto"/>
          </w:divBdr>
        </w:div>
        <w:div w:id="906919653">
          <w:marLeft w:val="1166"/>
          <w:marRight w:val="0"/>
          <w:marTop w:val="0"/>
          <w:marBottom w:val="180"/>
          <w:divBdr>
            <w:top w:val="none" w:sz="0" w:space="0" w:color="auto"/>
            <w:left w:val="none" w:sz="0" w:space="0" w:color="auto"/>
            <w:bottom w:val="none" w:sz="0" w:space="0" w:color="auto"/>
            <w:right w:val="none" w:sz="0" w:space="0" w:color="auto"/>
          </w:divBdr>
        </w:div>
        <w:div w:id="1189098340">
          <w:marLeft w:val="1166"/>
          <w:marRight w:val="0"/>
          <w:marTop w:val="0"/>
          <w:marBottom w:val="180"/>
          <w:divBdr>
            <w:top w:val="none" w:sz="0" w:space="0" w:color="auto"/>
            <w:left w:val="none" w:sz="0" w:space="0" w:color="auto"/>
            <w:bottom w:val="none" w:sz="0" w:space="0" w:color="auto"/>
            <w:right w:val="none" w:sz="0" w:space="0" w:color="auto"/>
          </w:divBdr>
        </w:div>
        <w:div w:id="2098358283">
          <w:marLeft w:val="1166"/>
          <w:marRight w:val="0"/>
          <w:marTop w:val="0"/>
          <w:marBottom w:val="160"/>
          <w:divBdr>
            <w:top w:val="none" w:sz="0" w:space="0" w:color="auto"/>
            <w:left w:val="none" w:sz="0" w:space="0" w:color="auto"/>
            <w:bottom w:val="none" w:sz="0" w:space="0" w:color="auto"/>
            <w:right w:val="none" w:sz="0" w:space="0" w:color="auto"/>
          </w:divBdr>
        </w:div>
        <w:div w:id="1640069744">
          <w:marLeft w:val="547"/>
          <w:marRight w:val="0"/>
          <w:marTop w:val="0"/>
          <w:marBottom w:val="180"/>
          <w:divBdr>
            <w:top w:val="none" w:sz="0" w:space="0" w:color="auto"/>
            <w:left w:val="none" w:sz="0" w:space="0" w:color="auto"/>
            <w:bottom w:val="none" w:sz="0" w:space="0" w:color="auto"/>
            <w:right w:val="none" w:sz="0" w:space="0" w:color="auto"/>
          </w:divBdr>
        </w:div>
        <w:div w:id="1329093907">
          <w:marLeft w:val="547"/>
          <w:marRight w:val="0"/>
          <w:marTop w:val="0"/>
          <w:marBottom w:val="180"/>
          <w:divBdr>
            <w:top w:val="none" w:sz="0" w:space="0" w:color="auto"/>
            <w:left w:val="none" w:sz="0" w:space="0" w:color="auto"/>
            <w:bottom w:val="none" w:sz="0" w:space="0" w:color="auto"/>
            <w:right w:val="none" w:sz="0" w:space="0" w:color="auto"/>
          </w:divBdr>
        </w:div>
        <w:div w:id="871965041">
          <w:marLeft w:val="547"/>
          <w:marRight w:val="0"/>
          <w:marTop w:val="0"/>
          <w:marBottom w:val="180"/>
          <w:divBdr>
            <w:top w:val="none" w:sz="0" w:space="0" w:color="auto"/>
            <w:left w:val="none" w:sz="0" w:space="0" w:color="auto"/>
            <w:bottom w:val="none" w:sz="0" w:space="0" w:color="auto"/>
            <w:right w:val="none" w:sz="0" w:space="0" w:color="auto"/>
          </w:divBdr>
        </w:div>
      </w:divsChild>
    </w:div>
    <w:div w:id="21108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cfr/text/40/93.111" TargetMode="External"/><Relationship Id="rId18" Type="http://schemas.openxmlformats.org/officeDocument/2006/relationships/hyperlink" Target="https://www.law.cornell.edu/cfr/text/40/93.115" TargetMode="External"/><Relationship Id="rId26" Type="http://schemas.openxmlformats.org/officeDocument/2006/relationships/hyperlink" Target="https://www.ecfr.gov/current/title-40/chapter-I/subchapter-C/part-93/subpart-A/section-93.118" TargetMode="External"/><Relationship Id="rId39" Type="http://schemas.openxmlformats.org/officeDocument/2006/relationships/header" Target="header3.xml"/><Relationship Id="rId21" Type="http://schemas.openxmlformats.org/officeDocument/2006/relationships/hyperlink" Target="https://www.ecfr.gov/current/title-40/chapter-I/subchapter-C/part-93/subpart-A/section-93.104" TargetMode="External"/><Relationship Id="rId34" Type="http://schemas.openxmlformats.org/officeDocument/2006/relationships/hyperlink" Target="https://www.ecfr.gov/current/title-40/chapter-I/subchapter-C/part-93/subpart-A/section-93.118" TargetMode="External"/><Relationship Id="rId42" Type="http://schemas.openxmlformats.org/officeDocument/2006/relationships/hyperlink" Target="https://www.law.cornell.edu/cfr/text/40/93.11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aw.cornell.edu/cfr/text/40/93.118"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cfr.gov/current/title-40/chapter-I/subchapter-C/part-93/subpart-A/section-93.128" TargetMode="External"/><Relationship Id="rId32" Type="http://schemas.openxmlformats.org/officeDocument/2006/relationships/hyperlink" Target="https://www.ecfr.gov/current/title-40/chapter-I/subchapter-C/part-93/subpart-A/section-93.127" TargetMode="External"/><Relationship Id="rId37" Type="http://schemas.openxmlformats.org/officeDocument/2006/relationships/header" Target="header2.xml"/><Relationship Id="rId40" Type="http://schemas.openxmlformats.org/officeDocument/2006/relationships/footer" Target="footer2.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law.cornell.edu/cfr/text/40/93.113" TargetMode="External"/><Relationship Id="rId23" Type="http://schemas.openxmlformats.org/officeDocument/2006/relationships/hyperlink" Target="https://www.ecfr.gov/current/title-40/chapter-I/subchapter-C/part-93/subpart-A/section-93.127" TargetMode="External"/><Relationship Id="rId28" Type="http://schemas.openxmlformats.org/officeDocument/2006/relationships/hyperlink" Target="https://www.law.cornell.edu/cfr/text/40/93.101"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info.gov/app/details/CFR-1999-title40-vol14/CFR-1999-title40-vol14-sec93-106" TargetMode="External"/><Relationship Id="rId31" Type="http://schemas.openxmlformats.org/officeDocument/2006/relationships/hyperlink" Target="https://www.ecfr.gov/current/title-40/chapter-I/subchapter-C/part-93/subpart-A/section-93.126"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40/93.112" TargetMode="External"/><Relationship Id="rId22" Type="http://schemas.openxmlformats.org/officeDocument/2006/relationships/hyperlink" Target="https://www.ecfr.gov/current/title-40/chapter-I/subchapter-C/part-93/subpart-A/section-93.126" TargetMode="External"/><Relationship Id="rId27" Type="http://schemas.openxmlformats.org/officeDocument/2006/relationships/hyperlink" Target="https://www.law.cornell.edu/uscode/text/23/134" TargetMode="External"/><Relationship Id="rId30" Type="http://schemas.openxmlformats.org/officeDocument/2006/relationships/hyperlink" Target="https://www.ecfr.gov/current/title-40/chapter-I/subchapter-C/part-93/subpart-A/section-93.126" TargetMode="External"/><Relationship Id="rId35" Type="http://schemas.openxmlformats.org/officeDocument/2006/relationships/hyperlink" Target="https://www.ecfr.gov/current/title-40/chapter-I/subchapter-C/part-93/subpart-A/section-93.111"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aw.cornell.edu/cfr/text/40/93.110" TargetMode="External"/><Relationship Id="rId17" Type="http://schemas.openxmlformats.org/officeDocument/2006/relationships/hyperlink" Target="https://www.law.cornell.edu/cfr/text/40/93.114" TargetMode="External"/><Relationship Id="rId25" Type="http://schemas.openxmlformats.org/officeDocument/2006/relationships/hyperlink" Target="https://www.law.cornell.edu/uscode/text/42/7506" TargetMode="External"/><Relationship Id="rId33" Type="http://schemas.openxmlformats.org/officeDocument/2006/relationships/hyperlink" Target="https://www.ecfr.gov/current/title-40/chapter-I/subchapter-C/part-93/subpart-A/section-93.128" TargetMode="External"/><Relationship Id="rId38" Type="http://schemas.openxmlformats.org/officeDocument/2006/relationships/footer" Target="footer1.xml"/><Relationship Id="rId46" Type="http://schemas.openxmlformats.org/officeDocument/2006/relationships/theme" Target="theme/theme1.xml"/><Relationship Id="rId20" Type="http://schemas.openxmlformats.org/officeDocument/2006/relationships/hyperlink" Target="https://uscode.house.gov/view.xhtml?req=granuleid:USC-prelim-title23-section134&amp;num=0&amp;edition=prelim" TargetMode="External"/><Relationship Id="rId41" Type="http://schemas.openxmlformats.org/officeDocument/2006/relationships/hyperlink" Target="https://www.ecfr.gov/current/title-40/chapter-I/subchapter-C/part-93/subpart-A/section-93.11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ederalregister.gov/documents/2016/11/08/2016-26957/adequacy-status-of-the-dallas-fort-worth-texas-attainment-demonstration-8-hour-ozone-motor-vehicle" TargetMode="External"/><Relationship Id="rId2" Type="http://schemas.openxmlformats.org/officeDocument/2006/relationships/hyperlink" Target="https://www.govinfo.gov/content/pkg/FR-2022-10-07/pdf/2022-20458.pdf" TargetMode="External"/><Relationship Id="rId1" Type="http://schemas.openxmlformats.org/officeDocument/2006/relationships/hyperlink" Target="https://www.gpo.gov/fdsys/pkg/FR-2015-10-26/pdf/2015-26594.pdf" TargetMode="External"/><Relationship Id="rId4" Type="http://schemas.openxmlformats.org/officeDocument/2006/relationships/hyperlink" Target="https://www.govinfo.gov/content/pkg/FR-2023-09-12/pdf/2023-19116.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F92BF0F1B34D9799012D937F458E61"/>
        <w:category>
          <w:name w:val="General"/>
          <w:gallery w:val="placeholder"/>
        </w:category>
        <w:types>
          <w:type w:val="bbPlcHdr"/>
        </w:types>
        <w:behaviors>
          <w:behavior w:val="content"/>
        </w:behaviors>
        <w:guid w:val="{83262E94-7448-46D9-AB6A-59786FCCF02A}"/>
      </w:docPartPr>
      <w:docPartBody>
        <w:p w:rsidR="001F4172" w:rsidRDefault="001F4172" w:rsidP="001F4172">
          <w:pPr>
            <w:pStyle w:val="A3F92BF0F1B34D9799012D937F458E61"/>
          </w:pPr>
          <w:r w:rsidRPr="0014195B">
            <w:rPr>
              <w:rStyle w:val="PlaceholderText"/>
            </w:rPr>
            <w:t>Choose an item.</w:t>
          </w:r>
        </w:p>
      </w:docPartBody>
    </w:docPart>
    <w:docPart>
      <w:docPartPr>
        <w:name w:val="E8A9F81D8A324D1BA8CD14E3FACAB20D"/>
        <w:category>
          <w:name w:val="General"/>
          <w:gallery w:val="placeholder"/>
        </w:category>
        <w:types>
          <w:type w:val="bbPlcHdr"/>
        </w:types>
        <w:behaviors>
          <w:behavior w:val="content"/>
        </w:behaviors>
        <w:guid w:val="{BA5AD218-7594-415F-9D4D-E30FE7C7E14A}"/>
      </w:docPartPr>
      <w:docPartBody>
        <w:p w:rsidR="001F4172" w:rsidRDefault="001F4172" w:rsidP="001F4172">
          <w:pPr>
            <w:pStyle w:val="E8A9F81D8A324D1BA8CD14E3FACAB20D"/>
          </w:pPr>
          <w:r w:rsidRPr="0014195B">
            <w:rPr>
              <w:rStyle w:val="PlaceholderText"/>
            </w:rPr>
            <w:t>Choose an item.</w:t>
          </w:r>
        </w:p>
      </w:docPartBody>
    </w:docPart>
    <w:docPart>
      <w:docPartPr>
        <w:name w:val="0CA385E7E8A145EA9A81FE6FCFCF08E6"/>
        <w:category>
          <w:name w:val="General"/>
          <w:gallery w:val="placeholder"/>
        </w:category>
        <w:types>
          <w:type w:val="bbPlcHdr"/>
        </w:types>
        <w:behaviors>
          <w:behavior w:val="content"/>
        </w:behaviors>
        <w:guid w:val="{71074C22-AA1D-496B-AF3B-7A110A3C99AD}"/>
      </w:docPartPr>
      <w:docPartBody>
        <w:p w:rsidR="001F4172" w:rsidRDefault="001F4172" w:rsidP="001F4172">
          <w:pPr>
            <w:pStyle w:val="0CA385E7E8A145EA9A81FE6FCFCF08E6"/>
          </w:pPr>
          <w:r w:rsidRPr="0014195B">
            <w:rPr>
              <w:rStyle w:val="PlaceholderText"/>
            </w:rPr>
            <w:t>Choose an item.</w:t>
          </w:r>
        </w:p>
      </w:docPartBody>
    </w:docPart>
    <w:docPart>
      <w:docPartPr>
        <w:name w:val="B0896C462A5C4EC99B2B0599A7C93805"/>
        <w:category>
          <w:name w:val="General"/>
          <w:gallery w:val="placeholder"/>
        </w:category>
        <w:types>
          <w:type w:val="bbPlcHdr"/>
        </w:types>
        <w:behaviors>
          <w:behavior w:val="content"/>
        </w:behaviors>
        <w:guid w:val="{DC4D8A21-B8A8-44FC-8C9A-B0DE61780C35}"/>
      </w:docPartPr>
      <w:docPartBody>
        <w:p w:rsidR="001F4172" w:rsidRDefault="001F4172" w:rsidP="001F4172">
          <w:pPr>
            <w:pStyle w:val="B0896C462A5C4EC99B2B0599A7C93805"/>
          </w:pPr>
          <w:r w:rsidRPr="0014195B">
            <w:rPr>
              <w:rStyle w:val="PlaceholderText"/>
            </w:rPr>
            <w:t>Choose an item.</w:t>
          </w:r>
        </w:p>
      </w:docPartBody>
    </w:docPart>
    <w:docPart>
      <w:docPartPr>
        <w:name w:val="6296A8D3BE9A430FAFCC324FC0F47715"/>
        <w:category>
          <w:name w:val="General"/>
          <w:gallery w:val="placeholder"/>
        </w:category>
        <w:types>
          <w:type w:val="bbPlcHdr"/>
        </w:types>
        <w:behaviors>
          <w:behavior w:val="content"/>
        </w:behaviors>
        <w:guid w:val="{3D9EC449-6195-440C-83D7-EDC018CA3B44}"/>
      </w:docPartPr>
      <w:docPartBody>
        <w:p w:rsidR="001F4172" w:rsidRDefault="001F4172" w:rsidP="001F4172">
          <w:pPr>
            <w:pStyle w:val="6296A8D3BE9A430FAFCC324FC0F47715"/>
          </w:pPr>
          <w:r w:rsidRPr="0014195B">
            <w:rPr>
              <w:rStyle w:val="PlaceholderText"/>
            </w:rPr>
            <w:t>Choose an item.</w:t>
          </w:r>
        </w:p>
      </w:docPartBody>
    </w:docPart>
    <w:docPart>
      <w:docPartPr>
        <w:name w:val="AEBD60C07E0A4FAFBE611D20BB5DB68D"/>
        <w:category>
          <w:name w:val="General"/>
          <w:gallery w:val="placeholder"/>
        </w:category>
        <w:types>
          <w:type w:val="bbPlcHdr"/>
        </w:types>
        <w:behaviors>
          <w:behavior w:val="content"/>
        </w:behaviors>
        <w:guid w:val="{EFBB288D-6B9B-4746-BEA2-E9BA8B402D52}"/>
      </w:docPartPr>
      <w:docPartBody>
        <w:p w:rsidR="001F4172" w:rsidRDefault="001F4172" w:rsidP="001F4172">
          <w:pPr>
            <w:pStyle w:val="AEBD60C07E0A4FAFBE611D20BB5DB68D"/>
          </w:pPr>
          <w:r w:rsidRPr="0014195B">
            <w:rPr>
              <w:rStyle w:val="PlaceholderText"/>
            </w:rPr>
            <w:t>Choose an item.</w:t>
          </w:r>
        </w:p>
      </w:docPartBody>
    </w:docPart>
    <w:docPart>
      <w:docPartPr>
        <w:name w:val="2323EE8D28A1423C94BE639C91BAD13F"/>
        <w:category>
          <w:name w:val="General"/>
          <w:gallery w:val="placeholder"/>
        </w:category>
        <w:types>
          <w:type w:val="bbPlcHdr"/>
        </w:types>
        <w:behaviors>
          <w:behavior w:val="content"/>
        </w:behaviors>
        <w:guid w:val="{22006F7B-9997-4A7E-8302-A9C7A6191AEC}"/>
      </w:docPartPr>
      <w:docPartBody>
        <w:p w:rsidR="001F4172" w:rsidRDefault="001F4172" w:rsidP="001F4172">
          <w:pPr>
            <w:pStyle w:val="2323EE8D28A1423C94BE639C91BAD13F"/>
          </w:pPr>
          <w:r w:rsidRPr="0014195B">
            <w:rPr>
              <w:rStyle w:val="PlaceholderText"/>
            </w:rPr>
            <w:t>Choose an item.</w:t>
          </w:r>
        </w:p>
      </w:docPartBody>
    </w:docPart>
    <w:docPart>
      <w:docPartPr>
        <w:name w:val="3DE0AA6CA79147DF9B2E3C4017AB0C65"/>
        <w:category>
          <w:name w:val="General"/>
          <w:gallery w:val="placeholder"/>
        </w:category>
        <w:types>
          <w:type w:val="bbPlcHdr"/>
        </w:types>
        <w:behaviors>
          <w:behavior w:val="content"/>
        </w:behaviors>
        <w:guid w:val="{B42F1C0E-2489-49C4-82CF-166401F4A441}"/>
      </w:docPartPr>
      <w:docPartBody>
        <w:p w:rsidR="001F4172" w:rsidRDefault="001F4172" w:rsidP="001F4172">
          <w:pPr>
            <w:pStyle w:val="3DE0AA6CA79147DF9B2E3C4017AB0C65"/>
          </w:pPr>
          <w:r w:rsidRPr="0014195B">
            <w:rPr>
              <w:rStyle w:val="PlaceholderText"/>
            </w:rPr>
            <w:t>Choose an item.</w:t>
          </w:r>
        </w:p>
      </w:docPartBody>
    </w:docPart>
    <w:docPart>
      <w:docPartPr>
        <w:name w:val="D5464EA4DE334E8095DE7F949B4FADFC"/>
        <w:category>
          <w:name w:val="General"/>
          <w:gallery w:val="placeholder"/>
        </w:category>
        <w:types>
          <w:type w:val="bbPlcHdr"/>
        </w:types>
        <w:behaviors>
          <w:behavior w:val="content"/>
        </w:behaviors>
        <w:guid w:val="{278FD305-0F39-4397-96D9-BB4F94C5E9BE}"/>
      </w:docPartPr>
      <w:docPartBody>
        <w:p w:rsidR="001F4172" w:rsidRDefault="001F4172" w:rsidP="001F4172">
          <w:pPr>
            <w:pStyle w:val="D5464EA4DE334E8095DE7F949B4FADFC"/>
          </w:pPr>
          <w:r w:rsidRPr="0014195B">
            <w:rPr>
              <w:rStyle w:val="PlaceholderText"/>
            </w:rPr>
            <w:t>Choose an item.</w:t>
          </w:r>
        </w:p>
      </w:docPartBody>
    </w:docPart>
    <w:docPart>
      <w:docPartPr>
        <w:name w:val="E5EEC16F6E89429CA81EF3CEC6896693"/>
        <w:category>
          <w:name w:val="General"/>
          <w:gallery w:val="placeholder"/>
        </w:category>
        <w:types>
          <w:type w:val="bbPlcHdr"/>
        </w:types>
        <w:behaviors>
          <w:behavior w:val="content"/>
        </w:behaviors>
        <w:guid w:val="{4F85A1D4-857F-43E6-9317-EBB8FEC0B7C1}"/>
      </w:docPartPr>
      <w:docPartBody>
        <w:p w:rsidR="001F4172" w:rsidRDefault="001F4172" w:rsidP="001F4172">
          <w:pPr>
            <w:pStyle w:val="E5EEC16F6E89429CA81EF3CEC6896693"/>
          </w:pPr>
          <w:r w:rsidRPr="0014195B">
            <w:rPr>
              <w:rStyle w:val="PlaceholderText"/>
            </w:rPr>
            <w:t>Choose an item.</w:t>
          </w:r>
        </w:p>
      </w:docPartBody>
    </w:docPart>
    <w:docPart>
      <w:docPartPr>
        <w:name w:val="B7D34D876E4D4E0AB798D91574C5EE8F"/>
        <w:category>
          <w:name w:val="General"/>
          <w:gallery w:val="placeholder"/>
        </w:category>
        <w:types>
          <w:type w:val="bbPlcHdr"/>
        </w:types>
        <w:behaviors>
          <w:behavior w:val="content"/>
        </w:behaviors>
        <w:guid w:val="{8E194F28-C96B-4DF7-A535-DE81F397A02D}"/>
      </w:docPartPr>
      <w:docPartBody>
        <w:p w:rsidR="001F4172" w:rsidRDefault="001F4172" w:rsidP="001F4172">
          <w:pPr>
            <w:pStyle w:val="B7D34D876E4D4E0AB798D91574C5EE8F"/>
          </w:pPr>
          <w:r w:rsidRPr="0014195B">
            <w:rPr>
              <w:rStyle w:val="PlaceholderText"/>
            </w:rPr>
            <w:t>Choose an item.</w:t>
          </w:r>
        </w:p>
      </w:docPartBody>
    </w:docPart>
    <w:docPart>
      <w:docPartPr>
        <w:name w:val="EBF0740D24B3491C84651B7AF792312E"/>
        <w:category>
          <w:name w:val="General"/>
          <w:gallery w:val="placeholder"/>
        </w:category>
        <w:types>
          <w:type w:val="bbPlcHdr"/>
        </w:types>
        <w:behaviors>
          <w:behavior w:val="content"/>
        </w:behaviors>
        <w:guid w:val="{FBAE32E1-A048-4679-B7B0-60E6255C66F3}"/>
      </w:docPartPr>
      <w:docPartBody>
        <w:p w:rsidR="001F4172" w:rsidRDefault="001F4172" w:rsidP="001F4172">
          <w:pPr>
            <w:pStyle w:val="EBF0740D24B3491C84651B7AF792312E"/>
          </w:pPr>
          <w:r w:rsidRPr="0014195B">
            <w:rPr>
              <w:rStyle w:val="PlaceholderText"/>
            </w:rPr>
            <w:t>Choose an item.</w:t>
          </w:r>
        </w:p>
      </w:docPartBody>
    </w:docPart>
    <w:docPart>
      <w:docPartPr>
        <w:name w:val="209D357AC57C48FF9C28880CA3F47E7B"/>
        <w:category>
          <w:name w:val="General"/>
          <w:gallery w:val="placeholder"/>
        </w:category>
        <w:types>
          <w:type w:val="bbPlcHdr"/>
        </w:types>
        <w:behaviors>
          <w:behavior w:val="content"/>
        </w:behaviors>
        <w:guid w:val="{37FC4898-8AF7-454D-A3BE-EE5EFF3E6823}"/>
      </w:docPartPr>
      <w:docPartBody>
        <w:p w:rsidR="001F4172" w:rsidRDefault="001F4172" w:rsidP="001F4172">
          <w:pPr>
            <w:pStyle w:val="209D357AC57C48FF9C28880CA3F47E7B"/>
          </w:pPr>
          <w:r w:rsidRPr="0014195B">
            <w:rPr>
              <w:rStyle w:val="PlaceholderText"/>
            </w:rPr>
            <w:t>Choose an item.</w:t>
          </w:r>
        </w:p>
      </w:docPartBody>
    </w:docPart>
    <w:docPart>
      <w:docPartPr>
        <w:name w:val="0AF8B08565784A7A80A6D7A8A32C1E25"/>
        <w:category>
          <w:name w:val="General"/>
          <w:gallery w:val="placeholder"/>
        </w:category>
        <w:types>
          <w:type w:val="bbPlcHdr"/>
        </w:types>
        <w:behaviors>
          <w:behavior w:val="content"/>
        </w:behaviors>
        <w:guid w:val="{AB11CEBE-C077-458C-8E59-D44C722FD653}"/>
      </w:docPartPr>
      <w:docPartBody>
        <w:p w:rsidR="001F4172" w:rsidRDefault="001F4172" w:rsidP="001F4172">
          <w:pPr>
            <w:pStyle w:val="0AF8B08565784A7A80A6D7A8A32C1E25"/>
          </w:pPr>
          <w:r w:rsidRPr="0014195B">
            <w:rPr>
              <w:rStyle w:val="PlaceholderText"/>
            </w:rPr>
            <w:t>Choose an item.</w:t>
          </w:r>
        </w:p>
      </w:docPartBody>
    </w:docPart>
    <w:docPart>
      <w:docPartPr>
        <w:name w:val="ABCF5B99038C4566AD63854E6FADE8B1"/>
        <w:category>
          <w:name w:val="General"/>
          <w:gallery w:val="placeholder"/>
        </w:category>
        <w:types>
          <w:type w:val="bbPlcHdr"/>
        </w:types>
        <w:behaviors>
          <w:behavior w:val="content"/>
        </w:behaviors>
        <w:guid w:val="{704361F1-2021-40C3-9490-EBDF72D669B0}"/>
      </w:docPartPr>
      <w:docPartBody>
        <w:p w:rsidR="00DA7E04" w:rsidRDefault="004C2604" w:rsidP="004C2604">
          <w:pPr>
            <w:pStyle w:val="ABCF5B99038C4566AD63854E6FADE8B110"/>
          </w:pPr>
          <w:r>
            <w:rPr>
              <w:b/>
              <w:bCs/>
              <w:color w:val="C00000"/>
            </w:rPr>
            <w:t>[Name of Pollutant]</w:t>
          </w:r>
        </w:p>
      </w:docPartBody>
    </w:docPart>
    <w:docPart>
      <w:docPartPr>
        <w:name w:val="84353D5371454B9FA827A8D35E0D2819"/>
        <w:category>
          <w:name w:val="General"/>
          <w:gallery w:val="placeholder"/>
        </w:category>
        <w:types>
          <w:type w:val="bbPlcHdr"/>
        </w:types>
        <w:behaviors>
          <w:behavior w:val="content"/>
        </w:behaviors>
        <w:guid w:val="{5D63ED5A-947D-463E-9BD9-694E0887D2FC}"/>
      </w:docPartPr>
      <w:docPartBody>
        <w:p w:rsidR="00D6047D" w:rsidRDefault="004C2604" w:rsidP="004C2604">
          <w:pPr>
            <w:pStyle w:val="84353D5371454B9FA827A8D35E0D28195"/>
          </w:pPr>
          <w:r>
            <w:rPr>
              <w:rStyle w:val="Style2"/>
            </w:rPr>
            <w:t>[</w:t>
          </w:r>
          <w:r w:rsidRPr="00B42101">
            <w:rPr>
              <w:b/>
              <w:bCs/>
              <w:color w:val="C00000"/>
            </w:rPr>
            <w:t>MPO</w:t>
          </w:r>
          <w:r>
            <w:rPr>
              <w:b/>
              <w:bCs/>
              <w:color w:val="C00000"/>
            </w:rPr>
            <w:t xml:space="preserve"> Name]</w:t>
          </w:r>
        </w:p>
      </w:docPartBody>
    </w:docPart>
    <w:docPart>
      <w:docPartPr>
        <w:name w:val="77C990A96F044DE0BF395DEDC08578A7"/>
        <w:category>
          <w:name w:val="General"/>
          <w:gallery w:val="placeholder"/>
        </w:category>
        <w:types>
          <w:type w:val="bbPlcHdr"/>
        </w:types>
        <w:behaviors>
          <w:behavior w:val="content"/>
        </w:behaviors>
        <w:guid w:val="{A1CA5D16-E5D0-4365-AB37-8C5A86FA5C3F}"/>
      </w:docPartPr>
      <w:docPartBody>
        <w:p w:rsidR="00D6047D" w:rsidRDefault="004C2604" w:rsidP="004C2604">
          <w:pPr>
            <w:pStyle w:val="77C990A96F044DE0BF395DEDC08578A74"/>
          </w:pPr>
          <w:r>
            <w:rPr>
              <w:rStyle w:val="Style2"/>
            </w:rPr>
            <w:t>[</w:t>
          </w:r>
          <w:r w:rsidRPr="00B42101">
            <w:rPr>
              <w:b/>
              <w:bCs/>
              <w:color w:val="C00000"/>
            </w:rPr>
            <w:t>MPO</w:t>
          </w:r>
          <w:r>
            <w:rPr>
              <w:b/>
              <w:bCs/>
              <w:color w:val="C00000"/>
            </w:rPr>
            <w:t xml:space="preserve"> Name]</w:t>
          </w:r>
        </w:p>
      </w:docPartBody>
    </w:docPart>
    <w:docPart>
      <w:docPartPr>
        <w:name w:val="4C37984B4E5D435699561F0D857BBE28"/>
        <w:category>
          <w:name w:val="General"/>
          <w:gallery w:val="placeholder"/>
        </w:category>
        <w:types>
          <w:type w:val="bbPlcHdr"/>
        </w:types>
        <w:behaviors>
          <w:behavior w:val="content"/>
        </w:behaviors>
        <w:guid w:val="{9B260C21-F84A-4368-AC54-2093B111F7D5}"/>
      </w:docPartPr>
      <w:docPartBody>
        <w:p w:rsidR="00D6047D" w:rsidRDefault="004C2604" w:rsidP="004C2604">
          <w:pPr>
            <w:pStyle w:val="4C37984B4E5D435699561F0D857BBE284"/>
          </w:pPr>
          <w:r>
            <w:rPr>
              <w:rStyle w:val="Style2"/>
            </w:rPr>
            <w:t>[</w:t>
          </w:r>
          <w:r w:rsidRPr="00B42101">
            <w:rPr>
              <w:b/>
              <w:bCs/>
              <w:color w:val="C00000"/>
            </w:rPr>
            <w:t>MPO</w:t>
          </w:r>
          <w:r>
            <w:rPr>
              <w:b/>
              <w:bCs/>
              <w:color w:val="C00000"/>
            </w:rPr>
            <w:t xml:space="preserve"> Name]</w:t>
          </w:r>
        </w:p>
      </w:docPartBody>
    </w:docPart>
    <w:docPart>
      <w:docPartPr>
        <w:name w:val="48B014D01C55479C9DF101C22F8EE522"/>
        <w:category>
          <w:name w:val="General"/>
          <w:gallery w:val="placeholder"/>
        </w:category>
        <w:types>
          <w:type w:val="bbPlcHdr"/>
        </w:types>
        <w:behaviors>
          <w:behavior w:val="content"/>
        </w:behaviors>
        <w:guid w:val="{39B4AA49-B827-4F6D-B2F8-8618738FAD0A}"/>
      </w:docPartPr>
      <w:docPartBody>
        <w:p w:rsidR="00D6047D" w:rsidRDefault="004C2604" w:rsidP="004C2604">
          <w:pPr>
            <w:pStyle w:val="48B014D01C55479C9DF101C22F8EE5224"/>
          </w:pPr>
          <w:r>
            <w:rPr>
              <w:rStyle w:val="Style2"/>
            </w:rPr>
            <w:t>[</w:t>
          </w:r>
          <w:r w:rsidRPr="00B42101">
            <w:rPr>
              <w:b/>
              <w:bCs/>
              <w:color w:val="C00000"/>
            </w:rPr>
            <w:t>MPO</w:t>
          </w:r>
          <w:r>
            <w:rPr>
              <w:b/>
              <w:bCs/>
              <w:color w:val="C00000"/>
            </w:rPr>
            <w:t xml:space="preserve"> Name]</w:t>
          </w:r>
        </w:p>
      </w:docPartBody>
    </w:docPart>
    <w:docPart>
      <w:docPartPr>
        <w:name w:val="33A01615B0004EBEAB00C5E19B74CC3C"/>
        <w:category>
          <w:name w:val="General"/>
          <w:gallery w:val="placeholder"/>
        </w:category>
        <w:types>
          <w:type w:val="bbPlcHdr"/>
        </w:types>
        <w:behaviors>
          <w:behavior w:val="content"/>
        </w:behaviors>
        <w:guid w:val="{71728E0F-CAA9-41E5-BC97-0670B2026383}"/>
      </w:docPartPr>
      <w:docPartBody>
        <w:p w:rsidR="00D6047D" w:rsidRDefault="004C2604" w:rsidP="004C2604">
          <w:pPr>
            <w:pStyle w:val="33A01615B0004EBEAB00C5E19B74CC3C4"/>
          </w:pPr>
          <w:r>
            <w:rPr>
              <w:rStyle w:val="Style2"/>
            </w:rPr>
            <w:t>[</w:t>
          </w:r>
          <w:r w:rsidRPr="00B42101">
            <w:rPr>
              <w:b/>
              <w:bCs/>
              <w:color w:val="C00000"/>
            </w:rPr>
            <w:t>MPO</w:t>
          </w:r>
          <w:r>
            <w:rPr>
              <w:b/>
              <w:bCs/>
              <w:color w:val="C00000"/>
            </w:rPr>
            <w:t xml:space="preserve"> Name]</w:t>
          </w:r>
        </w:p>
      </w:docPartBody>
    </w:docPart>
    <w:docPart>
      <w:docPartPr>
        <w:name w:val="060893E916134AA28566A43F3E06E20B"/>
        <w:category>
          <w:name w:val="General"/>
          <w:gallery w:val="placeholder"/>
        </w:category>
        <w:types>
          <w:type w:val="bbPlcHdr"/>
        </w:types>
        <w:behaviors>
          <w:behavior w:val="content"/>
        </w:behaviors>
        <w:guid w:val="{D895B948-560F-4877-B370-8098E4EBD9D5}"/>
      </w:docPartPr>
      <w:docPartBody>
        <w:p w:rsidR="00D6047D" w:rsidRDefault="004C2604" w:rsidP="004C2604">
          <w:pPr>
            <w:pStyle w:val="060893E916134AA28566A43F3E06E20B4"/>
          </w:pPr>
          <w:r>
            <w:rPr>
              <w:rStyle w:val="Style2"/>
            </w:rPr>
            <w:t>[</w:t>
          </w:r>
          <w:r w:rsidRPr="00B42101">
            <w:rPr>
              <w:b/>
              <w:bCs/>
              <w:color w:val="C00000"/>
            </w:rPr>
            <w:t>MPO</w:t>
          </w:r>
          <w:r>
            <w:rPr>
              <w:b/>
              <w:bCs/>
              <w:color w:val="C00000"/>
            </w:rPr>
            <w:t xml:space="preserve"> Name]</w:t>
          </w:r>
        </w:p>
      </w:docPartBody>
    </w:docPart>
    <w:docPart>
      <w:docPartPr>
        <w:name w:val="39D4D584530E46F4B14D88E895A292F3"/>
        <w:category>
          <w:name w:val="General"/>
          <w:gallery w:val="placeholder"/>
        </w:category>
        <w:types>
          <w:type w:val="bbPlcHdr"/>
        </w:types>
        <w:behaviors>
          <w:behavior w:val="content"/>
        </w:behaviors>
        <w:guid w:val="{6C59A2A6-049E-40FC-8C15-6D75CE0C26C4}"/>
      </w:docPartPr>
      <w:docPartBody>
        <w:p w:rsidR="00D6047D" w:rsidRDefault="004C2604" w:rsidP="004C2604">
          <w:pPr>
            <w:pStyle w:val="39D4D584530E46F4B14D88E895A292F34"/>
          </w:pPr>
          <w:r>
            <w:rPr>
              <w:rStyle w:val="Style2"/>
            </w:rPr>
            <w:t>[</w:t>
          </w:r>
          <w:r w:rsidRPr="00B42101">
            <w:rPr>
              <w:b/>
              <w:bCs/>
              <w:color w:val="C00000"/>
            </w:rPr>
            <w:t>MPO</w:t>
          </w:r>
          <w:r>
            <w:rPr>
              <w:b/>
              <w:bCs/>
              <w:color w:val="C00000"/>
            </w:rPr>
            <w:t xml:space="preserve"> Name]</w:t>
          </w:r>
        </w:p>
      </w:docPartBody>
    </w:docPart>
    <w:docPart>
      <w:docPartPr>
        <w:name w:val="673A4370C7CC4392B7802EF2CC3B3F0D"/>
        <w:category>
          <w:name w:val="General"/>
          <w:gallery w:val="placeholder"/>
        </w:category>
        <w:types>
          <w:type w:val="bbPlcHdr"/>
        </w:types>
        <w:behaviors>
          <w:behavior w:val="content"/>
        </w:behaviors>
        <w:guid w:val="{197632E6-71BA-4FAA-B5B4-7680A531C1EB}"/>
      </w:docPartPr>
      <w:docPartBody>
        <w:p w:rsidR="00D6047D" w:rsidRDefault="004C2604" w:rsidP="004C2604">
          <w:pPr>
            <w:pStyle w:val="673A4370C7CC4392B7802EF2CC3B3F0D4"/>
          </w:pPr>
          <w:r>
            <w:rPr>
              <w:rStyle w:val="Style2"/>
            </w:rPr>
            <w:t>[</w:t>
          </w:r>
          <w:r w:rsidRPr="00B42101">
            <w:rPr>
              <w:b/>
              <w:bCs/>
              <w:color w:val="C00000"/>
            </w:rPr>
            <w:t>MPO</w:t>
          </w:r>
          <w:r>
            <w:rPr>
              <w:b/>
              <w:bCs/>
              <w:color w:val="C00000"/>
            </w:rPr>
            <w:t xml:space="preserve"> Name]</w:t>
          </w:r>
        </w:p>
      </w:docPartBody>
    </w:docPart>
    <w:docPart>
      <w:docPartPr>
        <w:name w:val="C06070493AC8492DB4E9F162693EB1A3"/>
        <w:category>
          <w:name w:val="General"/>
          <w:gallery w:val="placeholder"/>
        </w:category>
        <w:types>
          <w:type w:val="bbPlcHdr"/>
        </w:types>
        <w:behaviors>
          <w:behavior w:val="content"/>
        </w:behaviors>
        <w:guid w:val="{EF8DA5D9-AE45-4E32-BAA4-E1F9DC3688F7}"/>
      </w:docPartPr>
      <w:docPartBody>
        <w:p w:rsidR="00D6047D" w:rsidRDefault="004C2604" w:rsidP="004C2604">
          <w:pPr>
            <w:pStyle w:val="C06070493AC8492DB4E9F162693EB1A34"/>
          </w:pPr>
          <w:r>
            <w:rPr>
              <w:rStyle w:val="Style2"/>
            </w:rPr>
            <w:t>[</w:t>
          </w:r>
          <w:r w:rsidRPr="00B42101">
            <w:rPr>
              <w:b/>
              <w:bCs/>
              <w:color w:val="C00000"/>
            </w:rPr>
            <w:t>MPO</w:t>
          </w:r>
          <w:r>
            <w:rPr>
              <w:b/>
              <w:bCs/>
              <w:color w:val="C00000"/>
            </w:rPr>
            <w:t xml:space="preserve"> Name]</w:t>
          </w:r>
        </w:p>
      </w:docPartBody>
    </w:docPart>
    <w:docPart>
      <w:docPartPr>
        <w:name w:val="CB790202E78C4D008499CE7E29766708"/>
        <w:category>
          <w:name w:val="General"/>
          <w:gallery w:val="placeholder"/>
        </w:category>
        <w:types>
          <w:type w:val="bbPlcHdr"/>
        </w:types>
        <w:behaviors>
          <w:behavior w:val="content"/>
        </w:behaviors>
        <w:guid w:val="{B47AA3CB-B19F-4819-8790-DF1CF093834D}"/>
      </w:docPartPr>
      <w:docPartBody>
        <w:p w:rsidR="00D6047D" w:rsidRDefault="004C2604" w:rsidP="004C2604">
          <w:pPr>
            <w:pStyle w:val="CB790202E78C4D008499CE7E297667084"/>
          </w:pPr>
          <w:r>
            <w:rPr>
              <w:rStyle w:val="Style2"/>
            </w:rPr>
            <w:t>[</w:t>
          </w:r>
          <w:r w:rsidRPr="00B42101">
            <w:rPr>
              <w:b/>
              <w:bCs/>
              <w:color w:val="C00000"/>
            </w:rPr>
            <w:t>MPO</w:t>
          </w:r>
          <w:r>
            <w:rPr>
              <w:b/>
              <w:bCs/>
              <w:color w:val="C00000"/>
            </w:rPr>
            <w:t xml:space="preserve"> Name]</w:t>
          </w:r>
        </w:p>
      </w:docPartBody>
    </w:docPart>
    <w:docPart>
      <w:docPartPr>
        <w:name w:val="0B239A0B503E4CB6BD0DC9CCF1475B05"/>
        <w:category>
          <w:name w:val="General"/>
          <w:gallery w:val="placeholder"/>
        </w:category>
        <w:types>
          <w:type w:val="bbPlcHdr"/>
        </w:types>
        <w:behaviors>
          <w:behavior w:val="content"/>
        </w:behaviors>
        <w:guid w:val="{638F46E7-CEDD-431C-AF65-8AD854180560}"/>
      </w:docPartPr>
      <w:docPartBody>
        <w:p w:rsidR="00D6047D" w:rsidRDefault="004C2604" w:rsidP="004C2604">
          <w:pPr>
            <w:pStyle w:val="0B239A0B503E4CB6BD0DC9CCF1475B054"/>
          </w:pPr>
          <w:r>
            <w:rPr>
              <w:rStyle w:val="Style2"/>
            </w:rPr>
            <w:t>[</w:t>
          </w:r>
          <w:r w:rsidRPr="00B42101">
            <w:rPr>
              <w:b/>
              <w:bCs/>
              <w:color w:val="C00000"/>
            </w:rPr>
            <w:t>MPO</w:t>
          </w:r>
          <w:r>
            <w:rPr>
              <w:b/>
              <w:bCs/>
              <w:color w:val="C00000"/>
            </w:rPr>
            <w:t xml:space="preserve"> Name]</w:t>
          </w:r>
        </w:p>
      </w:docPartBody>
    </w:docPart>
    <w:docPart>
      <w:docPartPr>
        <w:name w:val="64E42A19BE004BCBA2524E7D3439AA25"/>
        <w:category>
          <w:name w:val="General"/>
          <w:gallery w:val="placeholder"/>
        </w:category>
        <w:types>
          <w:type w:val="bbPlcHdr"/>
        </w:types>
        <w:behaviors>
          <w:behavior w:val="content"/>
        </w:behaviors>
        <w:guid w:val="{825168F4-F55E-44E8-9884-7898F3BA9183}"/>
      </w:docPartPr>
      <w:docPartBody>
        <w:p w:rsidR="00D6047D" w:rsidRDefault="004C2604" w:rsidP="004C2604">
          <w:pPr>
            <w:pStyle w:val="64E42A19BE004BCBA2524E7D3439AA254"/>
          </w:pPr>
          <w:r>
            <w:rPr>
              <w:rStyle w:val="Style2"/>
            </w:rPr>
            <w:t>[</w:t>
          </w:r>
          <w:r w:rsidRPr="00B42101">
            <w:rPr>
              <w:b/>
              <w:bCs/>
              <w:color w:val="C00000"/>
            </w:rPr>
            <w:t>MPO</w:t>
          </w:r>
          <w:r>
            <w:rPr>
              <w:b/>
              <w:bCs/>
              <w:color w:val="C00000"/>
            </w:rPr>
            <w:t xml:space="preserve"> Name]</w:t>
          </w:r>
        </w:p>
      </w:docPartBody>
    </w:docPart>
    <w:docPart>
      <w:docPartPr>
        <w:name w:val="06459B146E8C41E98AC9AAFA8A0E8FA4"/>
        <w:category>
          <w:name w:val="General"/>
          <w:gallery w:val="placeholder"/>
        </w:category>
        <w:types>
          <w:type w:val="bbPlcHdr"/>
        </w:types>
        <w:behaviors>
          <w:behavior w:val="content"/>
        </w:behaviors>
        <w:guid w:val="{6632FCEF-421A-4022-B781-712125F13E66}"/>
      </w:docPartPr>
      <w:docPartBody>
        <w:p w:rsidR="00D6047D" w:rsidRDefault="004C2604" w:rsidP="004C2604">
          <w:pPr>
            <w:pStyle w:val="06459B146E8C41E98AC9AAFA8A0E8FA4"/>
          </w:pPr>
          <w:r>
            <w:rPr>
              <w:rStyle w:val="PlaceholderText"/>
              <w:b/>
              <w:bCs/>
              <w:color w:val="C00000"/>
            </w:rPr>
            <w:t>Name of Region</w:t>
          </w:r>
        </w:p>
      </w:docPartBody>
    </w:docPart>
    <w:docPart>
      <w:docPartPr>
        <w:name w:val="89A62D9F2F0B47FA840C90C0DB1A5276"/>
        <w:category>
          <w:name w:val="General"/>
          <w:gallery w:val="placeholder"/>
        </w:category>
        <w:types>
          <w:type w:val="bbPlcHdr"/>
        </w:types>
        <w:behaviors>
          <w:behavior w:val="content"/>
        </w:behaviors>
        <w:guid w:val="{95A6FD46-E63F-490D-8090-1B52D124A92B}"/>
      </w:docPartPr>
      <w:docPartBody>
        <w:p w:rsidR="00D6047D" w:rsidRDefault="004C2604" w:rsidP="004C2604">
          <w:pPr>
            <w:pStyle w:val="89A62D9F2F0B47FA840C90C0DB1A5276"/>
          </w:pPr>
          <w:r>
            <w:rPr>
              <w:b/>
              <w:bCs/>
              <w:color w:val="C00000"/>
            </w:rPr>
            <w:t>[MOVES version]</w:t>
          </w:r>
        </w:p>
      </w:docPartBody>
    </w:docPart>
    <w:docPart>
      <w:docPartPr>
        <w:name w:val="0F5F8248ADE045A29973FD4D219D2D72"/>
        <w:category>
          <w:name w:val="General"/>
          <w:gallery w:val="placeholder"/>
        </w:category>
        <w:types>
          <w:type w:val="bbPlcHdr"/>
        </w:types>
        <w:behaviors>
          <w:behavior w:val="content"/>
        </w:behaviors>
        <w:guid w:val="{894AFAAA-42E3-4992-81FA-8839C2DDB618}"/>
      </w:docPartPr>
      <w:docPartBody>
        <w:p w:rsidR="00EC5D35" w:rsidRDefault="00EC5D35" w:rsidP="00EC5D35">
          <w:pPr>
            <w:pStyle w:val="0F5F8248ADE045A29973FD4D219D2D72"/>
          </w:pPr>
          <w:r>
            <w:rPr>
              <w:rStyle w:val="Style2"/>
            </w:rPr>
            <w:t>[</w:t>
          </w:r>
          <w:r w:rsidRPr="00B42101">
            <w:rPr>
              <w:b/>
              <w:bCs/>
              <w:color w:val="C00000"/>
            </w:rPr>
            <w:t>MPO</w:t>
          </w:r>
          <w:r>
            <w:rPr>
              <w:b/>
              <w:bCs/>
              <w:color w:val="C00000"/>
            </w:rPr>
            <w:t xml:space="preserve"> Name]</w:t>
          </w:r>
        </w:p>
      </w:docPartBody>
    </w:docPart>
    <w:docPart>
      <w:docPartPr>
        <w:name w:val="A3D2F5B733B544CB829EADE9F6BA4C0D"/>
        <w:category>
          <w:name w:val="General"/>
          <w:gallery w:val="placeholder"/>
        </w:category>
        <w:types>
          <w:type w:val="bbPlcHdr"/>
        </w:types>
        <w:behaviors>
          <w:behavior w:val="content"/>
        </w:behaviors>
        <w:guid w:val="{B880B178-C396-4177-A447-52FC2031D686}"/>
      </w:docPartPr>
      <w:docPartBody>
        <w:p w:rsidR="00EC5D35" w:rsidRDefault="00EC5D35" w:rsidP="00EC5D35">
          <w:pPr>
            <w:pStyle w:val="A3D2F5B733B544CB829EADE9F6BA4C0D"/>
          </w:pPr>
          <w:r>
            <w:rPr>
              <w:rStyle w:val="Style2"/>
            </w:rPr>
            <w:t>[</w:t>
          </w:r>
          <w:r w:rsidRPr="00B42101">
            <w:rPr>
              <w:b/>
              <w:bCs/>
              <w:color w:val="C00000"/>
            </w:rPr>
            <w:t>MPO</w:t>
          </w:r>
          <w:r>
            <w:rPr>
              <w:b/>
              <w:bCs/>
              <w:color w:val="C00000"/>
            </w:rPr>
            <w:t xml:space="preserve"> Name]</w:t>
          </w:r>
        </w:p>
      </w:docPartBody>
    </w:docPart>
    <w:docPart>
      <w:docPartPr>
        <w:name w:val="C519C09DB7EA49F9B57EFEC440EE1D19"/>
        <w:category>
          <w:name w:val="General"/>
          <w:gallery w:val="placeholder"/>
        </w:category>
        <w:types>
          <w:type w:val="bbPlcHdr"/>
        </w:types>
        <w:behaviors>
          <w:behavior w:val="content"/>
        </w:behaviors>
        <w:guid w:val="{863FC22A-693A-498F-9B85-9DA11EE4E3EB}"/>
      </w:docPartPr>
      <w:docPartBody>
        <w:p w:rsidR="00EC5D35" w:rsidRDefault="00EC5D35" w:rsidP="00EC5D35">
          <w:pPr>
            <w:pStyle w:val="C519C09DB7EA49F9B57EFEC440EE1D19"/>
          </w:pPr>
          <w:r>
            <w:rPr>
              <w:rStyle w:val="Style2"/>
            </w:rPr>
            <w:t>[</w:t>
          </w:r>
          <w:r w:rsidRPr="00B42101">
            <w:rPr>
              <w:b/>
              <w:bCs/>
              <w:color w:val="C00000"/>
            </w:rPr>
            <w:t>MPO</w:t>
          </w:r>
          <w:r>
            <w:rPr>
              <w:b/>
              <w:bCs/>
              <w:color w:val="C00000"/>
            </w:rPr>
            <w:t xml:space="preserve"> Name]</w:t>
          </w:r>
        </w:p>
      </w:docPartBody>
    </w:docPart>
    <w:docPart>
      <w:docPartPr>
        <w:name w:val="ACA4BB2D70FB42E6ABCBDDEF5D2F17A3"/>
        <w:category>
          <w:name w:val="General"/>
          <w:gallery w:val="placeholder"/>
        </w:category>
        <w:types>
          <w:type w:val="bbPlcHdr"/>
        </w:types>
        <w:behaviors>
          <w:behavior w:val="content"/>
        </w:behaviors>
        <w:guid w:val="{364214AE-E440-4064-BCD6-1259E1FD6965}"/>
      </w:docPartPr>
      <w:docPartBody>
        <w:p w:rsidR="00880C8D" w:rsidRDefault="00643D35" w:rsidP="00643D35">
          <w:pPr>
            <w:pStyle w:val="ACA4BB2D70FB42E6ABCBDDEF5D2F17A3"/>
          </w:pPr>
          <w:r>
            <w:rPr>
              <w:rStyle w:val="PlaceholderText"/>
              <w:b/>
              <w:bCs/>
              <w:color w:val="C00000"/>
            </w:rPr>
            <w:t>Name of Region</w:t>
          </w:r>
        </w:p>
      </w:docPartBody>
    </w:docPart>
    <w:docPart>
      <w:docPartPr>
        <w:name w:val="DB49053B596448A2BB55C7C435E7370B"/>
        <w:category>
          <w:name w:val="General"/>
          <w:gallery w:val="placeholder"/>
        </w:category>
        <w:types>
          <w:type w:val="bbPlcHdr"/>
        </w:types>
        <w:behaviors>
          <w:behavior w:val="content"/>
        </w:behaviors>
        <w:guid w:val="{2ECC3F0E-B0BC-4317-B8E5-8D9E7CE2983C}"/>
      </w:docPartPr>
      <w:docPartBody>
        <w:p w:rsidR="00880C8D" w:rsidRDefault="00643D35" w:rsidP="00643D35">
          <w:pPr>
            <w:pStyle w:val="DB49053B596448A2BB55C7C435E7370B"/>
          </w:pPr>
          <w:r>
            <w:rPr>
              <w:rStyle w:val="Style2"/>
            </w:rPr>
            <w:t>[</w:t>
          </w:r>
          <w:r w:rsidRPr="00B42101">
            <w:rPr>
              <w:b/>
              <w:bCs/>
              <w:color w:val="C00000"/>
            </w:rPr>
            <w:t>MPO</w:t>
          </w:r>
          <w:r>
            <w:rPr>
              <w:b/>
              <w:bCs/>
              <w:color w:val="C00000"/>
            </w:rPr>
            <w:t xml:space="preserve"> Name]</w:t>
          </w:r>
        </w:p>
      </w:docPartBody>
    </w:docPart>
    <w:docPart>
      <w:docPartPr>
        <w:name w:val="F7927254EA074E168725F057DACE8CA7"/>
        <w:category>
          <w:name w:val="General"/>
          <w:gallery w:val="placeholder"/>
        </w:category>
        <w:types>
          <w:type w:val="bbPlcHdr"/>
        </w:types>
        <w:behaviors>
          <w:behavior w:val="content"/>
        </w:behaviors>
        <w:guid w:val="{90853CF8-5BA3-441F-9CBB-E9006B3A233F}"/>
      </w:docPartPr>
      <w:docPartBody>
        <w:p w:rsidR="00880C8D" w:rsidRDefault="00643D35" w:rsidP="00643D35">
          <w:pPr>
            <w:pStyle w:val="F7927254EA074E168725F057DACE8CA7"/>
          </w:pPr>
          <w:r>
            <w:rPr>
              <w:rStyle w:val="PlaceholderText"/>
              <w:b/>
              <w:bCs/>
              <w:color w:val="C00000"/>
            </w:rPr>
            <w:t>Name of Region</w:t>
          </w:r>
        </w:p>
      </w:docPartBody>
    </w:docPart>
    <w:docPart>
      <w:docPartPr>
        <w:name w:val="B8AA96661D89452C87DA1B2C2350AE2B"/>
        <w:category>
          <w:name w:val="General"/>
          <w:gallery w:val="placeholder"/>
        </w:category>
        <w:types>
          <w:type w:val="bbPlcHdr"/>
        </w:types>
        <w:behaviors>
          <w:behavior w:val="content"/>
        </w:behaviors>
        <w:guid w:val="{9FBDA925-6179-4F40-A131-EC22422452D9}"/>
      </w:docPartPr>
      <w:docPartBody>
        <w:p w:rsidR="00880C8D" w:rsidRDefault="00643D35" w:rsidP="00643D35">
          <w:pPr>
            <w:pStyle w:val="B8AA96661D89452C87DA1B2C2350AE2B"/>
          </w:pPr>
          <w:r>
            <w:rPr>
              <w:rStyle w:val="PlaceholderText"/>
              <w:b/>
              <w:bCs/>
              <w:color w:val="C00000"/>
            </w:rPr>
            <w:t>Name of Region</w:t>
          </w:r>
        </w:p>
      </w:docPartBody>
    </w:docPart>
    <w:docPart>
      <w:docPartPr>
        <w:name w:val="6940A353B7534EE6AE7EE93D51A91F25"/>
        <w:category>
          <w:name w:val="General"/>
          <w:gallery w:val="placeholder"/>
        </w:category>
        <w:types>
          <w:type w:val="bbPlcHdr"/>
        </w:types>
        <w:behaviors>
          <w:behavior w:val="content"/>
        </w:behaviors>
        <w:guid w:val="{01D5C708-1F61-4723-830F-2B022D333C31}"/>
      </w:docPartPr>
      <w:docPartBody>
        <w:p w:rsidR="00880C8D" w:rsidRDefault="00643D35" w:rsidP="00643D35">
          <w:pPr>
            <w:pStyle w:val="6940A353B7534EE6AE7EE93D51A91F25"/>
          </w:pPr>
          <w:r>
            <w:rPr>
              <w:rStyle w:val="PlaceholderText"/>
              <w:b/>
              <w:bCs/>
              <w:color w:val="C00000"/>
            </w:rPr>
            <w:t>Name of Region</w:t>
          </w:r>
        </w:p>
      </w:docPartBody>
    </w:docPart>
    <w:docPart>
      <w:docPartPr>
        <w:name w:val="0DB54F8A248C4946BE1D7511F91F6475"/>
        <w:category>
          <w:name w:val="General"/>
          <w:gallery w:val="placeholder"/>
        </w:category>
        <w:types>
          <w:type w:val="bbPlcHdr"/>
        </w:types>
        <w:behaviors>
          <w:behavior w:val="content"/>
        </w:behaviors>
        <w:guid w:val="{B1DAA29B-54C6-4FCD-971F-AB2CCDFA09A8}"/>
      </w:docPartPr>
      <w:docPartBody>
        <w:p w:rsidR="00880C8D" w:rsidRDefault="00643D35" w:rsidP="00643D35">
          <w:pPr>
            <w:pStyle w:val="0DB54F8A248C4946BE1D7511F91F6475"/>
          </w:pPr>
          <w:r>
            <w:rPr>
              <w:rStyle w:val="PlaceholderText"/>
              <w:b/>
              <w:bCs/>
              <w:color w:val="C00000"/>
            </w:rPr>
            <w:t>Name of Region</w:t>
          </w:r>
        </w:p>
      </w:docPartBody>
    </w:docPart>
    <w:docPart>
      <w:docPartPr>
        <w:name w:val="E40AB4410D08402BBE664DFB17DF8A85"/>
        <w:category>
          <w:name w:val="General"/>
          <w:gallery w:val="placeholder"/>
        </w:category>
        <w:types>
          <w:type w:val="bbPlcHdr"/>
        </w:types>
        <w:behaviors>
          <w:behavior w:val="content"/>
        </w:behaviors>
        <w:guid w:val="{94A82355-DB75-422D-B1B1-4B35AEFE7093}"/>
      </w:docPartPr>
      <w:docPartBody>
        <w:p w:rsidR="00880C8D" w:rsidRDefault="00643D35" w:rsidP="00643D35">
          <w:pPr>
            <w:pStyle w:val="E40AB4410D08402BBE664DFB17DF8A85"/>
          </w:pPr>
          <w:r>
            <w:rPr>
              <w:rStyle w:val="PlaceholderText"/>
              <w:b/>
              <w:bCs/>
              <w:color w:val="C00000"/>
            </w:rPr>
            <w:t>Name of Region</w:t>
          </w:r>
        </w:p>
      </w:docPartBody>
    </w:docPart>
    <w:docPart>
      <w:docPartPr>
        <w:name w:val="BE8275801F1D4461A53763ED90B8D927"/>
        <w:category>
          <w:name w:val="General"/>
          <w:gallery w:val="placeholder"/>
        </w:category>
        <w:types>
          <w:type w:val="bbPlcHdr"/>
        </w:types>
        <w:behaviors>
          <w:behavior w:val="content"/>
        </w:behaviors>
        <w:guid w:val="{3F01633F-C519-4CFA-9D93-A6EF648E1ED8}"/>
      </w:docPartPr>
      <w:docPartBody>
        <w:p w:rsidR="00880C8D" w:rsidRDefault="00643D35" w:rsidP="00643D35">
          <w:pPr>
            <w:pStyle w:val="BE8275801F1D4461A53763ED90B8D927"/>
          </w:pPr>
          <w:r>
            <w:rPr>
              <w:rStyle w:val="PlaceholderText"/>
              <w:b/>
              <w:bCs/>
              <w:color w:val="C00000"/>
            </w:rPr>
            <w:t>Name of Region</w:t>
          </w:r>
        </w:p>
      </w:docPartBody>
    </w:docPart>
    <w:docPart>
      <w:docPartPr>
        <w:name w:val="1CB8B233CAD0498F862638866D942F67"/>
        <w:category>
          <w:name w:val="General"/>
          <w:gallery w:val="placeholder"/>
        </w:category>
        <w:types>
          <w:type w:val="bbPlcHdr"/>
        </w:types>
        <w:behaviors>
          <w:behavior w:val="content"/>
        </w:behaviors>
        <w:guid w:val="{3945DA2F-1636-40F4-A4FA-9AEA9C7E1A39}"/>
      </w:docPartPr>
      <w:docPartBody>
        <w:p w:rsidR="00880C8D" w:rsidRDefault="00643D35" w:rsidP="00643D35">
          <w:pPr>
            <w:pStyle w:val="1CB8B233CAD0498F862638866D942F67"/>
          </w:pPr>
          <w:r>
            <w:rPr>
              <w:rStyle w:val="PlaceholderText"/>
              <w:b/>
              <w:bCs/>
              <w:color w:val="C00000"/>
            </w:rPr>
            <w:t>Name of Region</w:t>
          </w:r>
        </w:p>
      </w:docPartBody>
    </w:docPart>
    <w:docPart>
      <w:docPartPr>
        <w:name w:val="0818BEE7E81D44F797C64C2230318257"/>
        <w:category>
          <w:name w:val="General"/>
          <w:gallery w:val="placeholder"/>
        </w:category>
        <w:types>
          <w:type w:val="bbPlcHdr"/>
        </w:types>
        <w:behaviors>
          <w:behavior w:val="content"/>
        </w:behaviors>
        <w:guid w:val="{19561AF7-E071-4AF9-AF42-2E2F8D4001BD}"/>
      </w:docPartPr>
      <w:docPartBody>
        <w:p w:rsidR="00880C8D" w:rsidRDefault="00643D35" w:rsidP="00643D35">
          <w:pPr>
            <w:pStyle w:val="0818BEE7E81D44F797C64C2230318257"/>
          </w:pPr>
          <w:r>
            <w:rPr>
              <w:rStyle w:val="PlaceholderText"/>
              <w:b/>
              <w:bCs/>
              <w:color w:val="C00000"/>
            </w:rPr>
            <w:t>Name of Region</w:t>
          </w:r>
        </w:p>
      </w:docPartBody>
    </w:docPart>
    <w:docPart>
      <w:docPartPr>
        <w:name w:val="521F8AF979CC480998CD3FC5EC738F66"/>
        <w:category>
          <w:name w:val="General"/>
          <w:gallery w:val="placeholder"/>
        </w:category>
        <w:types>
          <w:type w:val="bbPlcHdr"/>
        </w:types>
        <w:behaviors>
          <w:behavior w:val="content"/>
        </w:behaviors>
        <w:guid w:val="{B786B1C3-36A4-46C2-BC26-5F634D1A5182}"/>
      </w:docPartPr>
      <w:docPartBody>
        <w:p w:rsidR="00880C8D" w:rsidRDefault="00643D35" w:rsidP="00643D35">
          <w:pPr>
            <w:pStyle w:val="521F8AF979CC480998CD3FC5EC738F66"/>
          </w:pPr>
          <w:r>
            <w:rPr>
              <w:rStyle w:val="PlaceholderText"/>
              <w:b/>
              <w:bCs/>
              <w:color w:val="C00000"/>
            </w:rPr>
            <w:t>Name of Region</w:t>
          </w:r>
        </w:p>
      </w:docPartBody>
    </w:docPart>
    <w:docPart>
      <w:docPartPr>
        <w:name w:val="94B6FE4831B449C2B9E91B9637987139"/>
        <w:category>
          <w:name w:val="General"/>
          <w:gallery w:val="placeholder"/>
        </w:category>
        <w:types>
          <w:type w:val="bbPlcHdr"/>
        </w:types>
        <w:behaviors>
          <w:behavior w:val="content"/>
        </w:behaviors>
        <w:guid w:val="{C513EA52-07A3-4F4D-92E3-D9E01F48EAD4}"/>
      </w:docPartPr>
      <w:docPartBody>
        <w:p w:rsidR="00880C8D" w:rsidRDefault="00643D35" w:rsidP="00643D35">
          <w:pPr>
            <w:pStyle w:val="94B6FE4831B449C2B9E91B9637987139"/>
          </w:pPr>
          <w:r>
            <w:rPr>
              <w:rStyle w:val="PlaceholderText"/>
              <w:b/>
              <w:bCs/>
              <w:color w:val="C00000"/>
            </w:rPr>
            <w:t>Name of Region</w:t>
          </w:r>
        </w:p>
      </w:docPartBody>
    </w:docPart>
    <w:docPart>
      <w:docPartPr>
        <w:name w:val="E4362EF7420D42F3BA148012D1B84F24"/>
        <w:category>
          <w:name w:val="General"/>
          <w:gallery w:val="placeholder"/>
        </w:category>
        <w:types>
          <w:type w:val="bbPlcHdr"/>
        </w:types>
        <w:behaviors>
          <w:behavior w:val="content"/>
        </w:behaviors>
        <w:guid w:val="{7D9B2D03-60F9-4715-85B3-A41F46C95574}"/>
      </w:docPartPr>
      <w:docPartBody>
        <w:p w:rsidR="00880C8D" w:rsidRDefault="00643D35" w:rsidP="00643D35">
          <w:pPr>
            <w:pStyle w:val="E4362EF7420D42F3BA148012D1B84F24"/>
          </w:pPr>
          <w:r>
            <w:rPr>
              <w:rStyle w:val="PlaceholderText"/>
              <w:b/>
              <w:bCs/>
              <w:color w:val="C00000"/>
            </w:rPr>
            <w:t>Name of Region</w:t>
          </w:r>
        </w:p>
      </w:docPartBody>
    </w:docPart>
    <w:docPart>
      <w:docPartPr>
        <w:name w:val="B0EC11087CA64431AA91CC41D8E72DB0"/>
        <w:category>
          <w:name w:val="General"/>
          <w:gallery w:val="placeholder"/>
        </w:category>
        <w:types>
          <w:type w:val="bbPlcHdr"/>
        </w:types>
        <w:behaviors>
          <w:behavior w:val="content"/>
        </w:behaviors>
        <w:guid w:val="{178F2A07-D317-49FA-BC5A-4115BF1A8084}"/>
      </w:docPartPr>
      <w:docPartBody>
        <w:p w:rsidR="00880C8D" w:rsidRDefault="00643D35" w:rsidP="00643D35">
          <w:pPr>
            <w:pStyle w:val="B0EC11087CA64431AA91CC41D8E72DB0"/>
          </w:pPr>
          <w:r>
            <w:rPr>
              <w:b/>
              <w:bCs/>
              <w:color w:val="C00000"/>
            </w:rPr>
            <w:t>[MOVES version]</w:t>
          </w:r>
        </w:p>
      </w:docPartBody>
    </w:docPart>
    <w:docPart>
      <w:docPartPr>
        <w:name w:val="E6B41A834F6046A49F50A3B3024E7512"/>
        <w:category>
          <w:name w:val="General"/>
          <w:gallery w:val="placeholder"/>
        </w:category>
        <w:types>
          <w:type w:val="bbPlcHdr"/>
        </w:types>
        <w:behaviors>
          <w:behavior w:val="content"/>
        </w:behaviors>
        <w:guid w:val="{9D45E380-16E4-41AD-A08F-27757A0174F7}"/>
      </w:docPartPr>
      <w:docPartBody>
        <w:p w:rsidR="00880C8D" w:rsidRDefault="00643D35" w:rsidP="00643D35">
          <w:pPr>
            <w:pStyle w:val="E6B41A834F6046A49F50A3B3024E7512"/>
          </w:pPr>
          <w:r>
            <w:rPr>
              <w:rStyle w:val="PlaceholderText"/>
              <w:b/>
              <w:bCs/>
              <w:color w:val="C00000"/>
            </w:rPr>
            <w:t>Name of Region</w:t>
          </w:r>
        </w:p>
      </w:docPartBody>
    </w:docPart>
    <w:docPart>
      <w:docPartPr>
        <w:name w:val="ED342D2EB47A4DD2803A382AA6A48E71"/>
        <w:category>
          <w:name w:val="General"/>
          <w:gallery w:val="placeholder"/>
        </w:category>
        <w:types>
          <w:type w:val="bbPlcHdr"/>
        </w:types>
        <w:behaviors>
          <w:behavior w:val="content"/>
        </w:behaviors>
        <w:guid w:val="{220852F9-7E82-45CE-A7E0-9C26CB33C3E1}"/>
      </w:docPartPr>
      <w:docPartBody>
        <w:p w:rsidR="00880C8D" w:rsidRDefault="00643D35" w:rsidP="00643D35">
          <w:pPr>
            <w:pStyle w:val="ED342D2EB47A4DD2803A382AA6A48E71"/>
          </w:pPr>
          <w:r>
            <w:rPr>
              <w:b/>
              <w:bCs/>
              <w:color w:val="C00000"/>
            </w:rPr>
            <w:t>[MOVES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72"/>
    <w:rsid w:val="00011AB2"/>
    <w:rsid w:val="00062A07"/>
    <w:rsid w:val="000E5DDE"/>
    <w:rsid w:val="000F55D3"/>
    <w:rsid w:val="00120EB4"/>
    <w:rsid w:val="00131C9B"/>
    <w:rsid w:val="001F4172"/>
    <w:rsid w:val="00284086"/>
    <w:rsid w:val="00285C21"/>
    <w:rsid w:val="002D3123"/>
    <w:rsid w:val="0030359B"/>
    <w:rsid w:val="00315FEF"/>
    <w:rsid w:val="0036073A"/>
    <w:rsid w:val="003B2211"/>
    <w:rsid w:val="00421608"/>
    <w:rsid w:val="004604EB"/>
    <w:rsid w:val="004C2604"/>
    <w:rsid w:val="00522A60"/>
    <w:rsid w:val="00602A87"/>
    <w:rsid w:val="006224A0"/>
    <w:rsid w:val="00643D35"/>
    <w:rsid w:val="00717100"/>
    <w:rsid w:val="007215C0"/>
    <w:rsid w:val="00801477"/>
    <w:rsid w:val="00825027"/>
    <w:rsid w:val="00880C8D"/>
    <w:rsid w:val="008A426D"/>
    <w:rsid w:val="008B3810"/>
    <w:rsid w:val="00993AB0"/>
    <w:rsid w:val="009C0010"/>
    <w:rsid w:val="00A23A7B"/>
    <w:rsid w:val="00AB3C8D"/>
    <w:rsid w:val="00AB4B99"/>
    <w:rsid w:val="00CE5893"/>
    <w:rsid w:val="00CF7EEE"/>
    <w:rsid w:val="00D6047D"/>
    <w:rsid w:val="00DA7E04"/>
    <w:rsid w:val="00DE15D3"/>
    <w:rsid w:val="00EB10ED"/>
    <w:rsid w:val="00EC5D35"/>
    <w:rsid w:val="00FA4512"/>
    <w:rsid w:val="00FF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D35"/>
    <w:rPr>
      <w:color w:val="666666"/>
    </w:rPr>
  </w:style>
  <w:style w:type="paragraph" w:customStyle="1" w:styleId="A3F92BF0F1B34D9799012D937F458E61">
    <w:name w:val="A3F92BF0F1B34D9799012D937F458E61"/>
    <w:rsid w:val="001F4172"/>
  </w:style>
  <w:style w:type="paragraph" w:customStyle="1" w:styleId="E8A9F81D8A324D1BA8CD14E3FACAB20D">
    <w:name w:val="E8A9F81D8A324D1BA8CD14E3FACAB20D"/>
    <w:rsid w:val="001F4172"/>
  </w:style>
  <w:style w:type="paragraph" w:customStyle="1" w:styleId="0CA385E7E8A145EA9A81FE6FCFCF08E6">
    <w:name w:val="0CA385E7E8A145EA9A81FE6FCFCF08E6"/>
    <w:rsid w:val="001F4172"/>
  </w:style>
  <w:style w:type="paragraph" w:customStyle="1" w:styleId="B0896C462A5C4EC99B2B0599A7C93805">
    <w:name w:val="B0896C462A5C4EC99B2B0599A7C93805"/>
    <w:rsid w:val="001F4172"/>
  </w:style>
  <w:style w:type="paragraph" w:customStyle="1" w:styleId="6296A8D3BE9A430FAFCC324FC0F47715">
    <w:name w:val="6296A8D3BE9A430FAFCC324FC0F47715"/>
    <w:rsid w:val="001F4172"/>
  </w:style>
  <w:style w:type="paragraph" w:customStyle="1" w:styleId="AEBD60C07E0A4FAFBE611D20BB5DB68D">
    <w:name w:val="AEBD60C07E0A4FAFBE611D20BB5DB68D"/>
    <w:rsid w:val="001F4172"/>
  </w:style>
  <w:style w:type="paragraph" w:customStyle="1" w:styleId="2323EE8D28A1423C94BE639C91BAD13F">
    <w:name w:val="2323EE8D28A1423C94BE639C91BAD13F"/>
    <w:rsid w:val="001F4172"/>
  </w:style>
  <w:style w:type="paragraph" w:customStyle="1" w:styleId="3DE0AA6CA79147DF9B2E3C4017AB0C65">
    <w:name w:val="3DE0AA6CA79147DF9B2E3C4017AB0C65"/>
    <w:rsid w:val="001F4172"/>
  </w:style>
  <w:style w:type="paragraph" w:customStyle="1" w:styleId="D5464EA4DE334E8095DE7F949B4FADFC">
    <w:name w:val="D5464EA4DE334E8095DE7F949B4FADFC"/>
    <w:rsid w:val="001F4172"/>
  </w:style>
  <w:style w:type="paragraph" w:customStyle="1" w:styleId="E5EEC16F6E89429CA81EF3CEC6896693">
    <w:name w:val="E5EEC16F6E89429CA81EF3CEC6896693"/>
    <w:rsid w:val="001F4172"/>
  </w:style>
  <w:style w:type="paragraph" w:customStyle="1" w:styleId="B7D34D876E4D4E0AB798D91574C5EE8F">
    <w:name w:val="B7D34D876E4D4E0AB798D91574C5EE8F"/>
    <w:rsid w:val="001F4172"/>
  </w:style>
  <w:style w:type="paragraph" w:customStyle="1" w:styleId="EBF0740D24B3491C84651B7AF792312E">
    <w:name w:val="EBF0740D24B3491C84651B7AF792312E"/>
    <w:rsid w:val="001F4172"/>
  </w:style>
  <w:style w:type="paragraph" w:customStyle="1" w:styleId="209D357AC57C48FF9C28880CA3F47E7B">
    <w:name w:val="209D357AC57C48FF9C28880CA3F47E7B"/>
    <w:rsid w:val="001F4172"/>
  </w:style>
  <w:style w:type="paragraph" w:customStyle="1" w:styleId="0AF8B08565784A7A80A6D7A8A32C1E25">
    <w:name w:val="0AF8B08565784A7A80A6D7A8A32C1E25"/>
    <w:rsid w:val="001F4172"/>
  </w:style>
  <w:style w:type="character" w:customStyle="1" w:styleId="Style2">
    <w:name w:val="Style2"/>
    <w:basedOn w:val="DefaultParagraphFont"/>
    <w:uiPriority w:val="1"/>
    <w:rsid w:val="00643D35"/>
    <w:rPr>
      <w:rFonts w:ascii="Times New Roman" w:hAnsi="Times New Roman"/>
      <w:b/>
      <w:color w:val="C00000"/>
      <w:sz w:val="24"/>
    </w:rPr>
  </w:style>
  <w:style w:type="paragraph" w:customStyle="1" w:styleId="06459B146E8C41E98AC9AAFA8A0E8FA4">
    <w:name w:val="06459B146E8C41E98AC9AAFA8A0E8FA4"/>
    <w:rsid w:val="004C2604"/>
    <w:pPr>
      <w:spacing w:line="278" w:lineRule="auto"/>
    </w:pPr>
    <w:rPr>
      <w:sz w:val="24"/>
      <w:szCs w:val="24"/>
    </w:rPr>
  </w:style>
  <w:style w:type="paragraph" w:customStyle="1" w:styleId="84353D5371454B9FA827A8D35E0D28195">
    <w:name w:val="84353D5371454B9FA827A8D35E0D28195"/>
    <w:rsid w:val="004C2604"/>
    <w:pPr>
      <w:spacing w:after="180" w:line="264" w:lineRule="auto"/>
      <w:ind w:left="720"/>
      <w:contextualSpacing/>
    </w:pPr>
    <w:rPr>
      <w:rFonts w:ascii="Times New Roman" w:eastAsiaTheme="minorHAnsi" w:hAnsi="Times New Roman"/>
      <w:sz w:val="24"/>
    </w:rPr>
  </w:style>
  <w:style w:type="paragraph" w:customStyle="1" w:styleId="89A62D9F2F0B47FA840C90C0DB1A5276">
    <w:name w:val="89A62D9F2F0B47FA840C90C0DB1A5276"/>
    <w:rsid w:val="004C2604"/>
    <w:pPr>
      <w:spacing w:after="180" w:line="264" w:lineRule="auto"/>
      <w:ind w:left="720"/>
      <w:contextualSpacing/>
    </w:pPr>
    <w:rPr>
      <w:rFonts w:ascii="Times New Roman" w:eastAsiaTheme="minorHAnsi" w:hAnsi="Times New Roman"/>
      <w:sz w:val="24"/>
    </w:rPr>
  </w:style>
  <w:style w:type="paragraph" w:customStyle="1" w:styleId="77C990A96F044DE0BF395DEDC08578A74">
    <w:name w:val="77C990A96F044DE0BF395DEDC08578A74"/>
    <w:rsid w:val="004C2604"/>
    <w:pPr>
      <w:spacing w:after="180" w:line="264" w:lineRule="auto"/>
    </w:pPr>
    <w:rPr>
      <w:rFonts w:ascii="Times New Roman" w:eastAsiaTheme="minorHAnsi" w:hAnsi="Times New Roman"/>
      <w:sz w:val="24"/>
    </w:rPr>
  </w:style>
  <w:style w:type="paragraph" w:customStyle="1" w:styleId="4C37984B4E5D435699561F0D857BBE284">
    <w:name w:val="4C37984B4E5D435699561F0D857BBE284"/>
    <w:rsid w:val="004C2604"/>
    <w:pPr>
      <w:spacing w:after="180" w:line="264" w:lineRule="auto"/>
    </w:pPr>
    <w:rPr>
      <w:rFonts w:ascii="Times New Roman" w:eastAsiaTheme="minorHAnsi" w:hAnsi="Times New Roman"/>
      <w:sz w:val="24"/>
    </w:rPr>
  </w:style>
  <w:style w:type="paragraph" w:customStyle="1" w:styleId="48B014D01C55479C9DF101C22F8EE5224">
    <w:name w:val="48B014D01C55479C9DF101C22F8EE5224"/>
    <w:rsid w:val="004C2604"/>
    <w:pPr>
      <w:spacing w:after="180" w:line="264" w:lineRule="auto"/>
    </w:pPr>
    <w:rPr>
      <w:rFonts w:ascii="Times New Roman" w:eastAsiaTheme="minorHAnsi" w:hAnsi="Times New Roman"/>
      <w:sz w:val="24"/>
    </w:rPr>
  </w:style>
  <w:style w:type="paragraph" w:customStyle="1" w:styleId="33A01615B0004EBEAB00C5E19B74CC3C4">
    <w:name w:val="33A01615B0004EBEAB00C5E19B74CC3C4"/>
    <w:rsid w:val="004C2604"/>
    <w:pPr>
      <w:spacing w:after="180" w:line="264" w:lineRule="auto"/>
    </w:pPr>
    <w:rPr>
      <w:rFonts w:ascii="Times New Roman" w:eastAsiaTheme="minorHAnsi" w:hAnsi="Times New Roman"/>
      <w:sz w:val="24"/>
    </w:rPr>
  </w:style>
  <w:style w:type="paragraph" w:customStyle="1" w:styleId="060893E916134AA28566A43F3E06E20B4">
    <w:name w:val="060893E916134AA28566A43F3E06E20B4"/>
    <w:rsid w:val="004C2604"/>
    <w:pPr>
      <w:spacing w:after="180" w:line="264" w:lineRule="auto"/>
    </w:pPr>
    <w:rPr>
      <w:rFonts w:ascii="Times New Roman" w:eastAsiaTheme="minorHAnsi" w:hAnsi="Times New Roman"/>
      <w:sz w:val="24"/>
    </w:rPr>
  </w:style>
  <w:style w:type="paragraph" w:customStyle="1" w:styleId="39D4D584530E46F4B14D88E895A292F34">
    <w:name w:val="39D4D584530E46F4B14D88E895A292F34"/>
    <w:rsid w:val="004C2604"/>
    <w:pPr>
      <w:spacing w:after="180" w:line="264" w:lineRule="auto"/>
    </w:pPr>
    <w:rPr>
      <w:rFonts w:ascii="Times New Roman" w:eastAsiaTheme="minorHAnsi" w:hAnsi="Times New Roman"/>
      <w:sz w:val="24"/>
    </w:rPr>
  </w:style>
  <w:style w:type="paragraph" w:customStyle="1" w:styleId="673A4370C7CC4392B7802EF2CC3B3F0D4">
    <w:name w:val="673A4370C7CC4392B7802EF2CC3B3F0D4"/>
    <w:rsid w:val="004C2604"/>
    <w:pPr>
      <w:spacing w:after="180" w:line="264" w:lineRule="auto"/>
    </w:pPr>
    <w:rPr>
      <w:rFonts w:ascii="Times New Roman" w:eastAsiaTheme="minorHAnsi" w:hAnsi="Times New Roman"/>
      <w:sz w:val="24"/>
    </w:rPr>
  </w:style>
  <w:style w:type="paragraph" w:customStyle="1" w:styleId="C06070493AC8492DB4E9F162693EB1A34">
    <w:name w:val="C06070493AC8492DB4E9F162693EB1A34"/>
    <w:rsid w:val="004C2604"/>
    <w:pPr>
      <w:spacing w:after="180" w:line="264" w:lineRule="auto"/>
    </w:pPr>
    <w:rPr>
      <w:rFonts w:ascii="Times New Roman" w:eastAsiaTheme="minorHAnsi" w:hAnsi="Times New Roman"/>
      <w:sz w:val="24"/>
    </w:rPr>
  </w:style>
  <w:style w:type="paragraph" w:customStyle="1" w:styleId="CB790202E78C4D008499CE7E297667084">
    <w:name w:val="CB790202E78C4D008499CE7E297667084"/>
    <w:rsid w:val="004C2604"/>
    <w:pPr>
      <w:spacing w:after="180" w:line="264" w:lineRule="auto"/>
    </w:pPr>
    <w:rPr>
      <w:rFonts w:ascii="Times New Roman" w:eastAsiaTheme="minorHAnsi" w:hAnsi="Times New Roman"/>
      <w:sz w:val="24"/>
    </w:rPr>
  </w:style>
  <w:style w:type="paragraph" w:customStyle="1" w:styleId="0B239A0B503E4CB6BD0DC9CCF1475B054">
    <w:name w:val="0B239A0B503E4CB6BD0DC9CCF1475B054"/>
    <w:rsid w:val="004C2604"/>
    <w:pPr>
      <w:spacing w:after="180" w:line="264" w:lineRule="auto"/>
    </w:pPr>
    <w:rPr>
      <w:rFonts w:ascii="Times New Roman" w:eastAsiaTheme="minorHAnsi" w:hAnsi="Times New Roman"/>
      <w:sz w:val="24"/>
    </w:rPr>
  </w:style>
  <w:style w:type="paragraph" w:customStyle="1" w:styleId="ABCF5B99038C4566AD63854E6FADE8B110">
    <w:name w:val="ABCF5B99038C4566AD63854E6FADE8B110"/>
    <w:rsid w:val="004C2604"/>
    <w:pPr>
      <w:spacing w:after="180" w:line="264" w:lineRule="auto"/>
    </w:pPr>
    <w:rPr>
      <w:rFonts w:ascii="Times New Roman" w:eastAsiaTheme="minorHAnsi" w:hAnsi="Times New Roman"/>
      <w:sz w:val="24"/>
    </w:rPr>
  </w:style>
  <w:style w:type="paragraph" w:customStyle="1" w:styleId="64E42A19BE004BCBA2524E7D3439AA254">
    <w:name w:val="64E42A19BE004BCBA2524E7D3439AA254"/>
    <w:rsid w:val="004C2604"/>
    <w:pPr>
      <w:spacing w:after="180" w:line="264" w:lineRule="auto"/>
    </w:pPr>
    <w:rPr>
      <w:rFonts w:ascii="Times New Roman" w:eastAsiaTheme="minorHAnsi" w:hAnsi="Times New Roman"/>
      <w:sz w:val="24"/>
    </w:rPr>
  </w:style>
  <w:style w:type="paragraph" w:customStyle="1" w:styleId="ACA4BB2D70FB42E6ABCBDDEF5D2F17A3">
    <w:name w:val="ACA4BB2D70FB42E6ABCBDDEF5D2F17A3"/>
    <w:rsid w:val="00643D35"/>
    <w:pPr>
      <w:spacing w:line="278" w:lineRule="auto"/>
    </w:pPr>
    <w:rPr>
      <w:sz w:val="24"/>
      <w:szCs w:val="24"/>
    </w:rPr>
  </w:style>
  <w:style w:type="paragraph" w:customStyle="1" w:styleId="DB49053B596448A2BB55C7C435E7370B">
    <w:name w:val="DB49053B596448A2BB55C7C435E7370B"/>
    <w:rsid w:val="00643D35"/>
    <w:pPr>
      <w:spacing w:line="278" w:lineRule="auto"/>
    </w:pPr>
    <w:rPr>
      <w:sz w:val="24"/>
      <w:szCs w:val="24"/>
    </w:rPr>
  </w:style>
  <w:style w:type="paragraph" w:customStyle="1" w:styleId="F7927254EA074E168725F057DACE8CA7">
    <w:name w:val="F7927254EA074E168725F057DACE8CA7"/>
    <w:rsid w:val="00643D35"/>
    <w:pPr>
      <w:spacing w:line="278" w:lineRule="auto"/>
    </w:pPr>
    <w:rPr>
      <w:sz w:val="24"/>
      <w:szCs w:val="24"/>
    </w:rPr>
  </w:style>
  <w:style w:type="paragraph" w:customStyle="1" w:styleId="B8AA96661D89452C87DA1B2C2350AE2B">
    <w:name w:val="B8AA96661D89452C87DA1B2C2350AE2B"/>
    <w:rsid w:val="00643D35"/>
    <w:pPr>
      <w:spacing w:line="278" w:lineRule="auto"/>
    </w:pPr>
    <w:rPr>
      <w:sz w:val="24"/>
      <w:szCs w:val="24"/>
    </w:rPr>
  </w:style>
  <w:style w:type="paragraph" w:customStyle="1" w:styleId="6940A353B7534EE6AE7EE93D51A91F25">
    <w:name w:val="6940A353B7534EE6AE7EE93D51A91F25"/>
    <w:rsid w:val="00643D35"/>
    <w:pPr>
      <w:spacing w:line="278" w:lineRule="auto"/>
    </w:pPr>
    <w:rPr>
      <w:sz w:val="24"/>
      <w:szCs w:val="24"/>
    </w:rPr>
  </w:style>
  <w:style w:type="paragraph" w:customStyle="1" w:styleId="0DB54F8A248C4946BE1D7511F91F6475">
    <w:name w:val="0DB54F8A248C4946BE1D7511F91F6475"/>
    <w:rsid w:val="00643D35"/>
    <w:pPr>
      <w:spacing w:line="278" w:lineRule="auto"/>
    </w:pPr>
    <w:rPr>
      <w:sz w:val="24"/>
      <w:szCs w:val="24"/>
    </w:rPr>
  </w:style>
  <w:style w:type="paragraph" w:customStyle="1" w:styleId="E40AB4410D08402BBE664DFB17DF8A85">
    <w:name w:val="E40AB4410D08402BBE664DFB17DF8A85"/>
    <w:rsid w:val="00643D35"/>
    <w:pPr>
      <w:spacing w:line="278" w:lineRule="auto"/>
    </w:pPr>
    <w:rPr>
      <w:sz w:val="24"/>
      <w:szCs w:val="24"/>
    </w:rPr>
  </w:style>
  <w:style w:type="paragraph" w:customStyle="1" w:styleId="BE8275801F1D4461A53763ED90B8D927">
    <w:name w:val="BE8275801F1D4461A53763ED90B8D927"/>
    <w:rsid w:val="00643D35"/>
    <w:pPr>
      <w:spacing w:line="278" w:lineRule="auto"/>
    </w:pPr>
    <w:rPr>
      <w:sz w:val="24"/>
      <w:szCs w:val="24"/>
    </w:rPr>
  </w:style>
  <w:style w:type="paragraph" w:customStyle="1" w:styleId="1CB8B233CAD0498F862638866D942F67">
    <w:name w:val="1CB8B233CAD0498F862638866D942F67"/>
    <w:rsid w:val="00643D35"/>
    <w:pPr>
      <w:spacing w:line="278" w:lineRule="auto"/>
    </w:pPr>
    <w:rPr>
      <w:sz w:val="24"/>
      <w:szCs w:val="24"/>
    </w:rPr>
  </w:style>
  <w:style w:type="paragraph" w:customStyle="1" w:styleId="0818BEE7E81D44F797C64C2230318257">
    <w:name w:val="0818BEE7E81D44F797C64C2230318257"/>
    <w:rsid w:val="00643D35"/>
    <w:pPr>
      <w:spacing w:line="278" w:lineRule="auto"/>
    </w:pPr>
    <w:rPr>
      <w:sz w:val="24"/>
      <w:szCs w:val="24"/>
    </w:rPr>
  </w:style>
  <w:style w:type="paragraph" w:customStyle="1" w:styleId="521F8AF979CC480998CD3FC5EC738F66">
    <w:name w:val="521F8AF979CC480998CD3FC5EC738F66"/>
    <w:rsid w:val="00643D35"/>
    <w:pPr>
      <w:spacing w:line="278" w:lineRule="auto"/>
    </w:pPr>
    <w:rPr>
      <w:sz w:val="24"/>
      <w:szCs w:val="24"/>
    </w:rPr>
  </w:style>
  <w:style w:type="paragraph" w:customStyle="1" w:styleId="94B6FE4831B449C2B9E91B9637987139">
    <w:name w:val="94B6FE4831B449C2B9E91B9637987139"/>
    <w:rsid w:val="00643D35"/>
    <w:pPr>
      <w:spacing w:line="278" w:lineRule="auto"/>
    </w:pPr>
    <w:rPr>
      <w:sz w:val="24"/>
      <w:szCs w:val="24"/>
    </w:rPr>
  </w:style>
  <w:style w:type="paragraph" w:customStyle="1" w:styleId="E4362EF7420D42F3BA148012D1B84F24">
    <w:name w:val="E4362EF7420D42F3BA148012D1B84F24"/>
    <w:rsid w:val="00643D35"/>
    <w:pPr>
      <w:spacing w:line="278" w:lineRule="auto"/>
    </w:pPr>
    <w:rPr>
      <w:sz w:val="24"/>
      <w:szCs w:val="24"/>
    </w:rPr>
  </w:style>
  <w:style w:type="paragraph" w:customStyle="1" w:styleId="B0EC11087CA64431AA91CC41D8E72DB0">
    <w:name w:val="B0EC11087CA64431AA91CC41D8E72DB0"/>
    <w:rsid w:val="00643D35"/>
    <w:pPr>
      <w:spacing w:line="278" w:lineRule="auto"/>
    </w:pPr>
    <w:rPr>
      <w:sz w:val="24"/>
      <w:szCs w:val="24"/>
    </w:rPr>
  </w:style>
  <w:style w:type="paragraph" w:customStyle="1" w:styleId="E6B41A834F6046A49F50A3B3024E7512">
    <w:name w:val="E6B41A834F6046A49F50A3B3024E7512"/>
    <w:rsid w:val="00643D35"/>
    <w:pPr>
      <w:spacing w:line="278" w:lineRule="auto"/>
    </w:pPr>
    <w:rPr>
      <w:sz w:val="24"/>
      <w:szCs w:val="24"/>
    </w:rPr>
  </w:style>
  <w:style w:type="paragraph" w:customStyle="1" w:styleId="ED342D2EB47A4DD2803A382AA6A48E71">
    <w:name w:val="ED342D2EB47A4DD2803A382AA6A48E71"/>
    <w:rsid w:val="00643D35"/>
    <w:pPr>
      <w:spacing w:line="278" w:lineRule="auto"/>
    </w:pPr>
    <w:rPr>
      <w:sz w:val="24"/>
      <w:szCs w:val="24"/>
    </w:rPr>
  </w:style>
  <w:style w:type="paragraph" w:customStyle="1" w:styleId="0F5F8248ADE045A29973FD4D219D2D72">
    <w:name w:val="0F5F8248ADE045A29973FD4D219D2D72"/>
    <w:rsid w:val="00EC5D35"/>
    <w:pPr>
      <w:spacing w:line="278" w:lineRule="auto"/>
    </w:pPr>
    <w:rPr>
      <w:sz w:val="24"/>
      <w:szCs w:val="24"/>
    </w:rPr>
  </w:style>
  <w:style w:type="paragraph" w:customStyle="1" w:styleId="A3D2F5B733B544CB829EADE9F6BA4C0D">
    <w:name w:val="A3D2F5B733B544CB829EADE9F6BA4C0D"/>
    <w:rsid w:val="00EC5D35"/>
    <w:pPr>
      <w:spacing w:line="278" w:lineRule="auto"/>
    </w:pPr>
    <w:rPr>
      <w:sz w:val="24"/>
      <w:szCs w:val="24"/>
    </w:rPr>
  </w:style>
  <w:style w:type="paragraph" w:customStyle="1" w:styleId="C519C09DB7EA49F9B57EFEC440EE1D19">
    <w:name w:val="C519C09DB7EA49F9B57EFEC440EE1D19"/>
    <w:rsid w:val="00EC5D3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C8B3B0330C04AAEB3BEAA17E4F7DC" ma:contentTypeVersion="14" ma:contentTypeDescription="Create a new document." ma:contentTypeScope="" ma:versionID="bdc1e33acb9fe99e736028e4f859713c">
  <xsd:schema xmlns:xsd="http://www.w3.org/2001/XMLSchema" xmlns:xs="http://www.w3.org/2001/XMLSchema" xmlns:p="http://schemas.microsoft.com/office/2006/metadata/properties" xmlns:ns2="bcc7f70e-4d61-436a-9479-6e7e88cad6fe" xmlns:ns3="33a35aa4-adfa-44eb-a8b3-58b04279d7ad" targetNamespace="http://schemas.microsoft.com/office/2006/metadata/properties" ma:root="true" ma:fieldsID="bdf3551ef0c344b1b61b794d55d9a61b" ns2:_="" ns3:_="">
    <xsd:import namespace="bcc7f70e-4d61-436a-9479-6e7e88cad6fe"/>
    <xsd:import namespace="33a35aa4-adfa-44eb-a8b3-58b04279d7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7f70e-4d61-436a-9479-6e7e88cad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bbf02c-0cc7-4a19-a098-140ed2a185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a35aa4-adfa-44eb-a8b3-58b04279d7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7ae134-0015-4e81-9fe0-2135d610c767}" ma:internalName="TaxCatchAll" ma:showField="CatchAllData" ma:web="33a35aa4-adfa-44eb-a8b3-58b04279d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TaxCatchAll xmlns="33a35aa4-adfa-44eb-a8b3-58b04279d7ad"/>
    <lcf76f155ced4ddcb4097134ff3c332f xmlns="bcc7f70e-4d61-436a-9479-6e7e88cad6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04613-C987-492C-98F7-1D6D3E7D1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7f70e-4d61-436a-9479-6e7e88cad6fe"/>
    <ds:schemaRef ds:uri="33a35aa4-adfa-44eb-a8b3-58b04279d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C9CBD-FCBA-40A2-B5CE-8CCC99E2CEDC}">
  <ds:schemaRefs>
    <ds:schemaRef ds:uri="http://schemas.microsoft.com/sharepoint/v3/contenttype/forms"/>
  </ds:schemaRefs>
</ds:datastoreItem>
</file>

<file path=customXml/itemProps3.xml><?xml version="1.0" encoding="utf-8"?>
<ds:datastoreItem xmlns:ds="http://schemas.openxmlformats.org/officeDocument/2006/customXml" ds:itemID="{D5428A9F-BA83-44B4-8D25-533E564F6B81}">
  <ds:schemaRefs>
    <ds:schemaRef ds:uri="http://schemas.openxmlformats.org/officeDocument/2006/bibliography"/>
  </ds:schemaRefs>
</ds:datastoreItem>
</file>

<file path=customXml/itemProps4.xml><?xml version="1.0" encoding="utf-8"?>
<ds:datastoreItem xmlns:ds="http://schemas.openxmlformats.org/officeDocument/2006/customXml" ds:itemID="{0FAFD259-9C8A-443B-BC5F-A01C2EAF37DC}">
  <ds:schemaRefs>
    <ds:schemaRef ds:uri="http://schemas.microsoft.com/office/2006/metadata/properties"/>
    <ds:schemaRef ds:uri="http://schemas.microsoft.com/office/infopath/2007/PartnerControls"/>
    <ds:schemaRef ds:uri="33a35aa4-adfa-44eb-a8b3-58b04279d7ad"/>
    <ds:schemaRef ds:uri="bcc7f70e-4d61-436a-9479-6e7e88cad6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14756</Words>
  <Characters>84114</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Conformity Report Template</vt:lpstr>
    </vt:vector>
  </TitlesOfParts>
  <Company/>
  <LinksUpToDate>false</LinksUpToDate>
  <CharactersWithSpaces>98673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Conformity Report Template</dc:title>
  <dc:subject>Conformity Template</dc:subject>
  <dc:creator>Air Quality and Environment</dc:creator>
  <cp:keywords>Conformity</cp:keywords>
  <dc:description/>
  <cp:lastModifiedBy>Fildes, Anna</cp:lastModifiedBy>
  <cp:revision>2</cp:revision>
  <cp:lastPrinted>2025-01-30T19:31:00Z</cp:lastPrinted>
  <dcterms:created xsi:type="dcterms:W3CDTF">2025-05-14T16:24:00Z</dcterms:created>
  <dcterms:modified xsi:type="dcterms:W3CDTF">2025-05-14T16:24:00Z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0x0101007D9C8B3B0330C04AAEB3BEAA17E4F7DC</vt:lpwstr>
  </property>
  <property fmtid="{D5CDD505-2E9C-101B-9397-08002B2CF9AE}" pid="3" name="GrammarlyDocumentId">
    <vt:lpwstr>be5c36edebbe7baf32784d4bc595411d3e6a6f8b1e07f5faa0efe70707cc35d2</vt:lpwstr>
  </property>
  <property fmtid="{D5CDD505-2E9C-101B-9397-08002B2CF9AE}" pid="4" name="MediaServiceImageTags">
    <vt:lpwstr/>
  </property>
</Properties>
</file>